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4B0BDE" w:rsidR="00583219" w:rsidP="00583219" w:rsidRDefault="00913264" w14:paraId="7871A4BC" w14:textId="29FEEB2E">
      <w:pPr>
        <w:tabs>
          <w:tab w:val="center" w:pos="3410"/>
        </w:tabs>
        <w:spacing w:line="276" w:lineRule="auto"/>
        <w:jc w:val="right"/>
        <w:rPr>
          <w:rFonts w:cs="Arial"/>
          <w:b/>
        </w:rPr>
      </w:pPr>
      <w:r>
        <w:rPr>
          <w:noProof/>
        </w:rPr>
        <w:drawing>
          <wp:inline distT="0" distB="0" distL="0" distR="0" wp14:anchorId="0FB9A2F6" wp14:editId="3390FD8F">
            <wp:extent cx="1600200" cy="425450"/>
            <wp:effectExtent l="0" t="0" r="0" b="0"/>
            <wp:docPr id="1" name="Picture 1"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b="19785"/>
                    <a:stretch>
                      <a:fillRect/>
                    </a:stretch>
                  </pic:blipFill>
                  <pic:spPr bwMode="auto">
                    <a:xfrm>
                      <a:off x="0" y="0"/>
                      <a:ext cx="1600200" cy="425450"/>
                    </a:xfrm>
                    <a:prstGeom prst="rect">
                      <a:avLst/>
                    </a:prstGeom>
                    <a:noFill/>
                    <a:ln>
                      <a:noFill/>
                    </a:ln>
                  </pic:spPr>
                </pic:pic>
              </a:graphicData>
            </a:graphic>
          </wp:inline>
        </w:drawing>
      </w:r>
    </w:p>
    <w:p w:rsidRPr="004B0BDE" w:rsidR="00583219" w:rsidP="00583219" w:rsidRDefault="00583219" w14:paraId="6807AA63" w14:textId="77777777">
      <w:pPr>
        <w:tabs>
          <w:tab w:val="center" w:pos="3410"/>
        </w:tabs>
        <w:spacing w:line="276" w:lineRule="auto"/>
        <w:rPr>
          <w:rFonts w:cs="Arial"/>
          <w:b/>
        </w:rPr>
      </w:pPr>
    </w:p>
    <w:p w:rsidRPr="004B0BDE" w:rsidR="00583219" w:rsidP="00583219" w:rsidRDefault="00583219" w14:paraId="09208404" w14:textId="77777777">
      <w:pPr>
        <w:tabs>
          <w:tab w:val="center" w:pos="3410"/>
        </w:tabs>
        <w:spacing w:line="276" w:lineRule="auto"/>
        <w:rPr>
          <w:rFonts w:cs="Arial"/>
          <w:b/>
        </w:rPr>
      </w:pPr>
    </w:p>
    <w:p w:rsidRPr="004B0BDE" w:rsidR="00583219" w:rsidP="00583219" w:rsidRDefault="003D7277" w14:paraId="3F753E15" w14:textId="77777777">
      <w:pPr>
        <w:tabs>
          <w:tab w:val="center" w:pos="3410"/>
        </w:tabs>
        <w:spacing w:line="276" w:lineRule="auto"/>
        <w:rPr>
          <w:rFonts w:cs="Arial"/>
          <w:b/>
        </w:rPr>
      </w:pPr>
      <w:bookmarkStart w:name="_Hlk42269365" w:id="0"/>
      <w:r w:rsidRPr="004B0BDE">
        <w:rPr>
          <w:rFonts w:cs="Arial"/>
          <w:b/>
        </w:rPr>
        <w:t>LEI: 213800XC35KGM9NFC641</w:t>
      </w:r>
    </w:p>
    <w:bookmarkEnd w:id="0"/>
    <w:p w:rsidRPr="004B0BDE" w:rsidR="00583219" w:rsidP="00583219" w:rsidRDefault="00583219" w14:paraId="0FDB810D" w14:textId="77777777">
      <w:pPr>
        <w:tabs>
          <w:tab w:val="center" w:pos="3410"/>
        </w:tabs>
        <w:spacing w:line="276" w:lineRule="auto"/>
        <w:rPr>
          <w:rFonts w:cs="Arial"/>
          <w:b/>
        </w:rPr>
      </w:pPr>
    </w:p>
    <w:p w:rsidRPr="004B0BDE" w:rsidR="00583219" w:rsidP="00583219" w:rsidRDefault="003D7277" w14:paraId="72F285E5" w14:textId="02C947E1">
      <w:pPr>
        <w:tabs>
          <w:tab w:val="center" w:pos="3410"/>
        </w:tabs>
        <w:spacing w:line="276" w:lineRule="auto"/>
        <w:rPr>
          <w:rFonts w:cs="Arial"/>
          <w:b/>
        </w:rPr>
      </w:pPr>
      <w:r w:rsidRPr="004B0BDE">
        <w:rPr>
          <w:rFonts w:cs="Arial"/>
          <w:b/>
        </w:rPr>
        <w:t>THIS ANNOUNCEMENT AND THE INFORMATION CONTAINED HEREIN ARE NOT FOR RELEASE, PUBLICATION OR DISTRIBUTION,</w:t>
      </w:r>
      <w:r w:rsidR="007A1548">
        <w:rPr>
          <w:rFonts w:cs="Arial"/>
          <w:b/>
        </w:rPr>
        <w:t xml:space="preserve"> IN WHOLE OR IN PART,</w:t>
      </w:r>
      <w:r w:rsidRPr="004B0BDE">
        <w:rPr>
          <w:rFonts w:cs="Arial"/>
          <w:b/>
        </w:rPr>
        <w:t xml:space="preserve"> DIRECTLY OR INDIRECTLY, IN OR INTO THE UNITED STATES, AUSTRALIA, CANADA, REPUBLIC OF SOUTH AFRICA, JAPAN OR ANY JURISDICTION IN WHICH SUCH RELEASE, PUBLICATION OR DISTRIBUTION WOULD BE UNLAWFUL</w:t>
      </w:r>
      <w:r w:rsidR="00DE060B">
        <w:rPr>
          <w:rFonts w:cs="Arial"/>
          <w:b/>
        </w:rPr>
        <w:t>.</w:t>
      </w:r>
    </w:p>
    <w:p w:rsidRPr="004B0BDE" w:rsidR="00583219" w:rsidP="00583219" w:rsidRDefault="00583219" w14:paraId="5D07888B" w14:textId="77777777">
      <w:pPr>
        <w:tabs>
          <w:tab w:val="center" w:pos="3410"/>
        </w:tabs>
        <w:spacing w:line="276" w:lineRule="auto"/>
        <w:rPr>
          <w:rFonts w:cs="Arial"/>
          <w:b/>
        </w:rPr>
      </w:pPr>
    </w:p>
    <w:p w:rsidRPr="004B0BDE" w:rsidR="00583219" w:rsidP="00583219" w:rsidRDefault="003D7277" w14:paraId="050E1B22" w14:textId="7ED725A7">
      <w:pPr>
        <w:tabs>
          <w:tab w:val="center" w:pos="3410"/>
        </w:tabs>
        <w:spacing w:line="276" w:lineRule="auto"/>
        <w:rPr>
          <w:rFonts w:cs="Arial"/>
          <w:b/>
        </w:rPr>
      </w:pPr>
      <w:r w:rsidRPr="004B0BDE">
        <w:rPr>
          <w:rFonts w:cs="Arial"/>
          <w:b/>
        </w:rPr>
        <w:t>FURTHER, THIS ANNOUNCEMENT IS FOR INFORMATION PURPOSES ONLY AND IS NOT AN OFFER OF SECURITIES IN ANY JURISDICTION</w:t>
      </w:r>
      <w:r w:rsidR="00DE060B">
        <w:rPr>
          <w:rFonts w:cs="Arial"/>
          <w:b/>
        </w:rPr>
        <w:t>.</w:t>
      </w:r>
    </w:p>
    <w:p w:rsidRPr="004B0BDE" w:rsidR="00583219" w:rsidP="00583219" w:rsidRDefault="00583219" w14:paraId="0933AAA4" w14:textId="77777777">
      <w:pPr>
        <w:tabs>
          <w:tab w:val="center" w:pos="3410"/>
        </w:tabs>
        <w:spacing w:line="276" w:lineRule="auto"/>
        <w:rPr>
          <w:rFonts w:cs="Arial"/>
          <w:b/>
        </w:rPr>
      </w:pPr>
    </w:p>
    <w:p w:rsidRPr="004B0BDE" w:rsidR="00583219" w:rsidP="00583219" w:rsidRDefault="003D7277" w14:paraId="1E260D67" w14:textId="1ECC6A3D">
      <w:pPr>
        <w:tabs>
          <w:tab w:val="center" w:pos="3410"/>
        </w:tabs>
        <w:spacing w:line="276" w:lineRule="auto"/>
        <w:rPr>
          <w:rFonts w:cs="Arial"/>
          <w:b/>
        </w:rPr>
      </w:pPr>
      <w:r w:rsidRPr="004B0BDE">
        <w:rPr>
          <w:rFonts w:cs="Arial"/>
          <w:b/>
        </w:rPr>
        <w:t>THIS ANNOUNCEMENT CONTAINS INSIDE INFORMATION</w:t>
      </w:r>
      <w:r w:rsidR="00DE060B">
        <w:rPr>
          <w:rFonts w:cs="Arial"/>
          <w:b/>
        </w:rPr>
        <w:t>.</w:t>
      </w:r>
    </w:p>
    <w:p w:rsidRPr="004B0BDE" w:rsidR="00583219" w:rsidP="00583219" w:rsidRDefault="00583219" w14:paraId="34DCE842" w14:textId="77777777">
      <w:pPr>
        <w:tabs>
          <w:tab w:val="center" w:pos="3410"/>
        </w:tabs>
        <w:spacing w:line="276" w:lineRule="auto"/>
        <w:rPr>
          <w:rFonts w:cs="Arial"/>
          <w:b/>
        </w:rPr>
      </w:pPr>
    </w:p>
    <w:p w:rsidRPr="004B0BDE" w:rsidR="00583219" w:rsidP="00583219" w:rsidRDefault="003D7277" w14:paraId="19C6FC87" w14:textId="77777777">
      <w:pPr>
        <w:tabs>
          <w:tab w:val="center" w:pos="3410"/>
        </w:tabs>
        <w:spacing w:line="276" w:lineRule="auto"/>
        <w:rPr>
          <w:rFonts w:cs="Arial"/>
          <w:b/>
        </w:rPr>
      </w:pPr>
      <w:r w:rsidRPr="004B0BDE">
        <w:rPr>
          <w:rFonts w:cs="Arial"/>
          <w:b/>
        </w:rPr>
        <w:t>FOR IMMEDIATE RELEASE</w:t>
      </w:r>
    </w:p>
    <w:p w:rsidRPr="004B0BDE" w:rsidR="00583219" w:rsidP="00583219" w:rsidRDefault="00583219" w14:paraId="01D284A3" w14:textId="77777777">
      <w:pPr>
        <w:tabs>
          <w:tab w:val="center" w:pos="3410"/>
        </w:tabs>
        <w:spacing w:line="276" w:lineRule="auto"/>
        <w:rPr>
          <w:rFonts w:cs="Arial"/>
          <w:b/>
        </w:rPr>
      </w:pPr>
    </w:p>
    <w:p w:rsidRPr="004B0BDE" w:rsidR="00583219" w:rsidP="00583219" w:rsidRDefault="00CD6C4C" w14:paraId="04372089" w14:textId="0ABC9B85">
      <w:pPr>
        <w:spacing w:line="276" w:lineRule="auto"/>
        <w:rPr>
          <w:rFonts w:cs="Arial"/>
          <w:b/>
          <w:lang w:val="en-US"/>
        </w:rPr>
      </w:pPr>
      <w:r w:rsidRPr="00F7700A">
        <w:rPr>
          <w:rFonts w:cs="Arial"/>
          <w:b/>
          <w:lang w:val="en-US"/>
        </w:rPr>
        <w:t>28</w:t>
      </w:r>
      <w:r w:rsidRPr="00F7700A" w:rsidR="00C357E6">
        <w:rPr>
          <w:rFonts w:cs="Arial"/>
          <w:b/>
          <w:lang w:val="en-US"/>
        </w:rPr>
        <w:t xml:space="preserve"> </w:t>
      </w:r>
      <w:r w:rsidRPr="00F7700A" w:rsidR="00BC37D0">
        <w:rPr>
          <w:rFonts w:cs="Arial"/>
          <w:b/>
          <w:lang w:val="en-US"/>
        </w:rPr>
        <w:t>February</w:t>
      </w:r>
      <w:r w:rsidR="00DE060B">
        <w:rPr>
          <w:rFonts w:cs="Arial"/>
          <w:b/>
          <w:lang w:val="en-US"/>
        </w:rPr>
        <w:t xml:space="preserve"> </w:t>
      </w:r>
      <w:r w:rsidR="00D5331C">
        <w:rPr>
          <w:rFonts w:cs="Arial"/>
          <w:b/>
          <w:lang w:val="en-US"/>
        </w:rPr>
        <w:t>2024</w:t>
      </w:r>
    </w:p>
    <w:p w:rsidRPr="004B0BDE" w:rsidR="00583219" w:rsidP="00583219" w:rsidRDefault="00583219" w14:paraId="51E7C78A" w14:textId="77777777">
      <w:pPr>
        <w:spacing w:line="276" w:lineRule="auto"/>
        <w:rPr>
          <w:rFonts w:cs="Arial"/>
          <w:b/>
          <w:lang w:val="en-US"/>
        </w:rPr>
      </w:pPr>
    </w:p>
    <w:p w:rsidRPr="004B0BDE" w:rsidR="00583219" w:rsidP="00583219" w:rsidRDefault="003D7277" w14:paraId="43DEEA91" w14:textId="77777777">
      <w:pPr>
        <w:tabs>
          <w:tab w:val="center" w:pos="4961"/>
          <w:tab w:val="left" w:pos="6097"/>
        </w:tabs>
        <w:spacing w:line="276" w:lineRule="auto"/>
        <w:jc w:val="left"/>
        <w:rPr>
          <w:rFonts w:cs="Arial"/>
          <w:b/>
          <w:lang w:val="en-US"/>
        </w:rPr>
      </w:pPr>
      <w:r w:rsidRPr="004B0BDE">
        <w:rPr>
          <w:rFonts w:cs="Arial"/>
          <w:b/>
          <w:lang w:val="en-US"/>
        </w:rPr>
        <w:tab/>
        <w:t>SEGRO plc</w:t>
      </w:r>
      <w:r w:rsidRPr="004B0BDE">
        <w:rPr>
          <w:rFonts w:cs="Arial"/>
          <w:b/>
          <w:lang w:val="en-US"/>
        </w:rPr>
        <w:tab/>
      </w:r>
    </w:p>
    <w:p w:rsidRPr="004B0BDE" w:rsidR="00583219" w:rsidP="00583219" w:rsidRDefault="00583219" w14:paraId="59D98761" w14:textId="77777777">
      <w:pPr>
        <w:spacing w:line="276" w:lineRule="auto"/>
        <w:jc w:val="center"/>
        <w:rPr>
          <w:rFonts w:cs="Arial"/>
          <w:b/>
          <w:lang w:val="en-US"/>
        </w:rPr>
      </w:pPr>
    </w:p>
    <w:p w:rsidR="00583219" w:rsidP="00583219" w:rsidRDefault="00390267" w14:paraId="092B71C1" w14:textId="0D3A7F65">
      <w:pPr>
        <w:spacing w:line="276" w:lineRule="auto"/>
        <w:jc w:val="center"/>
        <w:rPr>
          <w:rFonts w:cs="Arial"/>
          <w:b/>
          <w:lang w:val="en-US"/>
        </w:rPr>
      </w:pPr>
      <w:r>
        <w:rPr>
          <w:rFonts w:cs="Arial"/>
          <w:b/>
          <w:lang w:val="en-US"/>
        </w:rPr>
        <w:t>RESULTS OF PLACING</w:t>
      </w:r>
      <w:r w:rsidR="005D31D9">
        <w:rPr>
          <w:rFonts w:cs="Arial"/>
          <w:b/>
          <w:lang w:val="en-US"/>
        </w:rPr>
        <w:t xml:space="preserve"> AND RETAIL OFFER</w:t>
      </w:r>
    </w:p>
    <w:p w:rsidR="00390267" w:rsidP="00583219" w:rsidRDefault="00390267" w14:paraId="13715F73" w14:textId="77777777">
      <w:pPr>
        <w:spacing w:line="276" w:lineRule="auto"/>
        <w:jc w:val="center"/>
        <w:rPr>
          <w:rFonts w:cs="Arial"/>
          <w:b/>
          <w:lang w:val="en-US"/>
        </w:rPr>
      </w:pPr>
    </w:p>
    <w:p w:rsidR="00390267" w:rsidP="00390267" w:rsidRDefault="003D7277" w14:paraId="0E962277" w14:textId="017CD466">
      <w:pPr>
        <w:spacing w:after="240" w:line="276" w:lineRule="auto"/>
        <w:rPr>
          <w:rFonts w:cs="Arial"/>
          <w:lang w:val="en-US"/>
        </w:rPr>
      </w:pPr>
      <w:r w:rsidRPr="004B0BDE">
        <w:rPr>
          <w:rFonts w:cs="Arial"/>
          <w:lang w:val="en-US"/>
        </w:rPr>
        <w:t>SEGRO plc (“</w:t>
      </w:r>
      <w:r w:rsidRPr="004B0BDE">
        <w:rPr>
          <w:rFonts w:cs="Arial"/>
          <w:b/>
          <w:bCs/>
          <w:lang w:val="en-US"/>
        </w:rPr>
        <w:t>SEGRO</w:t>
      </w:r>
      <w:r w:rsidRPr="004B0BDE">
        <w:rPr>
          <w:rFonts w:cs="Arial"/>
          <w:lang w:val="en-US"/>
        </w:rPr>
        <w:t>” or the “</w:t>
      </w:r>
      <w:r w:rsidRPr="004B0BDE">
        <w:rPr>
          <w:rFonts w:cs="Arial"/>
          <w:b/>
          <w:bCs/>
          <w:lang w:val="en-US"/>
        </w:rPr>
        <w:t>Company</w:t>
      </w:r>
      <w:r w:rsidRPr="004B0BDE">
        <w:rPr>
          <w:rFonts w:cs="Arial"/>
          <w:lang w:val="en-US"/>
        </w:rPr>
        <w:t>” or the “</w:t>
      </w:r>
      <w:r w:rsidRPr="004B0BDE">
        <w:rPr>
          <w:rFonts w:cs="Arial"/>
          <w:b/>
          <w:bCs/>
          <w:lang w:val="en-US"/>
        </w:rPr>
        <w:t>Group</w:t>
      </w:r>
      <w:r w:rsidRPr="004B0BDE">
        <w:rPr>
          <w:rFonts w:cs="Arial"/>
          <w:lang w:val="en-US"/>
        </w:rPr>
        <w:t>”) announces</w:t>
      </w:r>
      <w:r w:rsidR="00390267">
        <w:rPr>
          <w:rFonts w:cs="Arial"/>
          <w:lang w:val="en-US"/>
        </w:rPr>
        <w:t xml:space="preserve"> </w:t>
      </w:r>
      <w:r w:rsidRPr="00390267" w:rsidR="00390267">
        <w:rPr>
          <w:rFonts w:cs="Arial"/>
          <w:lang w:val="en-US"/>
        </w:rPr>
        <w:t>the successful pricing of the non-pre-emptive</w:t>
      </w:r>
      <w:r w:rsidR="00390267">
        <w:rPr>
          <w:rFonts w:cs="Arial"/>
          <w:lang w:val="en-US"/>
        </w:rPr>
        <w:t xml:space="preserve"> </w:t>
      </w:r>
      <w:r w:rsidRPr="00390267" w:rsidR="00390267">
        <w:rPr>
          <w:rFonts w:cs="Arial"/>
          <w:lang w:val="en-US"/>
        </w:rPr>
        <w:t>placing of new ordinary shares of 10 pence each in the capital of the Company (the "</w:t>
      </w:r>
      <w:r w:rsidRPr="00390267" w:rsidR="00390267">
        <w:rPr>
          <w:rFonts w:cs="Arial"/>
          <w:b/>
          <w:lang w:val="en-US"/>
        </w:rPr>
        <w:t>Ordinary Shares</w:t>
      </w:r>
      <w:r w:rsidRPr="00390267" w:rsidR="00390267">
        <w:rPr>
          <w:rFonts w:cs="Arial"/>
          <w:lang w:val="en-US"/>
        </w:rPr>
        <w:t xml:space="preserve">") announced on </w:t>
      </w:r>
      <w:r w:rsidR="00CD6C4C">
        <w:rPr>
          <w:rFonts w:cs="Arial"/>
          <w:lang w:val="en-US"/>
        </w:rPr>
        <w:t>27</w:t>
      </w:r>
      <w:r w:rsidR="00422A69">
        <w:rPr>
          <w:rFonts w:cs="Arial"/>
          <w:lang w:val="en-US"/>
        </w:rPr>
        <w:t xml:space="preserve"> </w:t>
      </w:r>
      <w:r w:rsidR="00BC37D0">
        <w:rPr>
          <w:rFonts w:cs="Arial"/>
          <w:lang w:val="en-US"/>
        </w:rPr>
        <w:t>February</w:t>
      </w:r>
      <w:r w:rsidR="00D5331C">
        <w:rPr>
          <w:rFonts w:cs="Arial"/>
          <w:lang w:val="en-US"/>
        </w:rPr>
        <w:t xml:space="preserve"> 2024</w:t>
      </w:r>
      <w:r w:rsidRPr="00390267" w:rsidR="00390267">
        <w:rPr>
          <w:rFonts w:cs="Arial"/>
          <w:lang w:val="en-US"/>
        </w:rPr>
        <w:t xml:space="preserve"> (the "</w:t>
      </w:r>
      <w:r w:rsidRPr="00F7700A" w:rsidR="00390267">
        <w:rPr>
          <w:rFonts w:cs="Arial"/>
          <w:b/>
          <w:lang w:val="en-US"/>
        </w:rPr>
        <w:t>Placing</w:t>
      </w:r>
      <w:r w:rsidRPr="00F7700A" w:rsidR="00390267">
        <w:rPr>
          <w:rFonts w:cs="Arial"/>
          <w:lang w:val="en-US"/>
        </w:rPr>
        <w:t xml:space="preserve">"). </w:t>
      </w:r>
      <w:proofErr w:type="gramStart"/>
      <w:r w:rsidRPr="00F7700A" w:rsidR="00390267">
        <w:rPr>
          <w:rFonts w:cs="Arial"/>
          <w:lang w:val="en-US"/>
        </w:rPr>
        <w:t>In light of</w:t>
      </w:r>
      <w:proofErr w:type="gramEnd"/>
      <w:r w:rsidRPr="00F7700A" w:rsidR="00390267">
        <w:rPr>
          <w:rFonts w:cs="Arial"/>
          <w:lang w:val="en-US"/>
        </w:rPr>
        <w:t xml:space="preserve"> the strong demand received both from existing investors and potential new holders, the Board has decided to increase the size of the raise from approximately £</w:t>
      </w:r>
      <w:r w:rsidRPr="00F7700A" w:rsidR="00992836">
        <w:rPr>
          <w:rFonts w:cs="Arial"/>
          <w:lang w:val="en-US"/>
        </w:rPr>
        <w:t>800</w:t>
      </w:r>
      <w:r w:rsidRPr="00F7700A" w:rsidR="00390267">
        <w:rPr>
          <w:rFonts w:cs="Arial"/>
          <w:lang w:val="en-US"/>
        </w:rPr>
        <w:t xml:space="preserve"> million to £</w:t>
      </w:r>
      <w:r w:rsidRPr="00F7700A" w:rsidR="00992836">
        <w:rPr>
          <w:rFonts w:cs="Arial"/>
          <w:lang w:val="en-US"/>
        </w:rPr>
        <w:t>900</w:t>
      </w:r>
      <w:r w:rsidRPr="00F7700A" w:rsidR="00390267">
        <w:rPr>
          <w:rFonts w:cs="Arial"/>
          <w:lang w:val="en-US"/>
        </w:rPr>
        <w:t xml:space="preserve"> million.</w:t>
      </w:r>
    </w:p>
    <w:p w:rsidR="00BA41B8" w:rsidP="006501DE" w:rsidRDefault="006501DE" w14:paraId="4A00EE18" w14:textId="3F962176">
      <w:pPr>
        <w:spacing w:before="240" w:line="276" w:lineRule="auto"/>
        <w:rPr>
          <w:rFonts w:cs="Arial"/>
          <w:lang w:val="en-US"/>
        </w:rPr>
      </w:pPr>
      <w:r w:rsidRPr="006501DE">
        <w:rPr>
          <w:rFonts w:cs="Arial"/>
          <w:lang w:val="en-US"/>
        </w:rPr>
        <w:t>David Sleath, Chief Executive, said:</w:t>
      </w:r>
      <w:r w:rsidR="00D52B5E">
        <w:rPr>
          <w:rFonts w:cs="Arial"/>
          <w:lang w:val="en-US"/>
        </w:rPr>
        <w:t xml:space="preserve"> “</w:t>
      </w:r>
      <w:r w:rsidRPr="00D52B5E" w:rsidR="00D52B5E">
        <w:rPr>
          <w:rFonts w:cs="Arial"/>
          <w:i/>
          <w:iCs/>
          <w:lang w:val="en-US"/>
        </w:rPr>
        <w:t>We appreciate the support</w:t>
      </w:r>
      <w:r w:rsidRPr="00883C27" w:rsidR="00883C27">
        <w:rPr>
          <w:rFonts w:cs="Arial"/>
          <w:i/>
          <w:iCs/>
          <w:lang w:val="en-US"/>
        </w:rPr>
        <w:t xml:space="preserve"> </w:t>
      </w:r>
      <w:r w:rsidRPr="00D52B5E" w:rsidR="00883C27">
        <w:rPr>
          <w:rFonts w:cs="Arial"/>
          <w:i/>
          <w:iCs/>
          <w:lang w:val="en-US"/>
        </w:rPr>
        <w:t>from our investor base</w:t>
      </w:r>
      <w:r w:rsidRPr="00D52B5E" w:rsidR="00D52B5E">
        <w:rPr>
          <w:rFonts w:cs="Arial"/>
          <w:i/>
          <w:iCs/>
          <w:lang w:val="en-US"/>
        </w:rPr>
        <w:t xml:space="preserve"> for this equity placing and the confidence it demonstrates in our business. In addition to the profitable growth opportunities within our development pipeline, we expect further exciting opportunities to emerge in the coming months which this additional capital will help us to deliver.</w:t>
      </w:r>
      <w:r w:rsidRPr="00D52B5E" w:rsidR="00D52B5E">
        <w:rPr>
          <w:rFonts w:cs="Arial"/>
          <w:lang w:val="en-US"/>
        </w:rPr>
        <w:t>”</w:t>
      </w:r>
    </w:p>
    <w:p w:rsidRPr="005F0019" w:rsidR="005F0019" w:rsidP="00B27B38" w:rsidRDefault="00390267" w14:paraId="5822DDD5" w14:textId="3F42172B">
      <w:pPr>
        <w:spacing w:before="240" w:line="276" w:lineRule="auto"/>
        <w:rPr>
          <w:rFonts w:cs="Arial"/>
          <w:color w:val="000000"/>
          <w14:ligatures w14:val="standardContextual"/>
        </w:rPr>
      </w:pPr>
      <w:r w:rsidRPr="00390267">
        <w:rPr>
          <w:rFonts w:cs="Arial"/>
          <w:lang w:val="en-US"/>
        </w:rPr>
        <w:t xml:space="preserve">A total of </w:t>
      </w:r>
      <w:r w:rsidR="00992836">
        <w:rPr>
          <w:rFonts w:cs="Arial"/>
          <w:lang w:val="en-US"/>
        </w:rPr>
        <w:t>109,756,098</w:t>
      </w:r>
      <w:r w:rsidRPr="00390267">
        <w:rPr>
          <w:rFonts w:cs="Arial"/>
          <w:lang w:val="en-US"/>
        </w:rPr>
        <w:t xml:space="preserve"> new Ordinary Shares in the capital of the Company (the "</w:t>
      </w:r>
      <w:r w:rsidRPr="00390267">
        <w:rPr>
          <w:rFonts w:cs="Arial"/>
          <w:b/>
          <w:lang w:val="en-US"/>
        </w:rPr>
        <w:t>Placing Shares</w:t>
      </w:r>
      <w:r w:rsidRPr="00390267">
        <w:rPr>
          <w:rFonts w:cs="Arial"/>
          <w:lang w:val="en-US"/>
        </w:rPr>
        <w:t>") have</w:t>
      </w:r>
      <w:r>
        <w:rPr>
          <w:rFonts w:cs="Arial"/>
          <w:lang w:val="en-US"/>
        </w:rPr>
        <w:t xml:space="preserve"> </w:t>
      </w:r>
      <w:r w:rsidRPr="00390267">
        <w:rPr>
          <w:rFonts w:cs="Arial"/>
          <w:lang w:val="en-US"/>
        </w:rPr>
        <w:t xml:space="preserve">been placed by </w:t>
      </w:r>
      <w:r w:rsidR="00D5331C">
        <w:rPr>
          <w:rFonts w:cs="Arial"/>
          <w:lang w:val="en-US"/>
        </w:rPr>
        <w:t>Morgan Stanley &amp; Co</w:t>
      </w:r>
      <w:r w:rsidR="00CD6C4C">
        <w:rPr>
          <w:rFonts w:cs="Arial"/>
          <w:lang w:val="en-US"/>
        </w:rPr>
        <w:t>.</w:t>
      </w:r>
      <w:r w:rsidR="00D5331C">
        <w:rPr>
          <w:rFonts w:cs="Arial"/>
          <w:lang w:val="en-US"/>
        </w:rPr>
        <w:t xml:space="preserve"> International plc</w:t>
      </w:r>
      <w:r w:rsidRPr="004B0BDE" w:rsidR="00ED22FF">
        <w:rPr>
          <w:rFonts w:cs="Arial"/>
          <w:lang w:val="en-US"/>
        </w:rPr>
        <w:t xml:space="preserve"> (“</w:t>
      </w:r>
      <w:r w:rsidR="00D5331C">
        <w:rPr>
          <w:rFonts w:cs="Arial"/>
          <w:b/>
          <w:lang w:val="en-US"/>
        </w:rPr>
        <w:t>Morgan Stanley</w:t>
      </w:r>
      <w:r w:rsidRPr="004B0BDE" w:rsidR="00ED22FF">
        <w:rPr>
          <w:rFonts w:cs="Arial"/>
          <w:lang w:val="en-US"/>
        </w:rPr>
        <w:t>”) and UBS AG London Branch (“</w:t>
      </w:r>
      <w:r w:rsidRPr="004B0BDE" w:rsidR="00ED22FF">
        <w:rPr>
          <w:rFonts w:cs="Arial"/>
          <w:b/>
          <w:lang w:val="en-US"/>
        </w:rPr>
        <w:t>UBS</w:t>
      </w:r>
      <w:r w:rsidRPr="004B0BDE" w:rsidR="00ED22FF">
        <w:rPr>
          <w:rFonts w:cs="Arial"/>
          <w:lang w:val="en-US"/>
        </w:rPr>
        <w:t xml:space="preserve">”, and together with </w:t>
      </w:r>
      <w:r w:rsidR="00D5331C">
        <w:rPr>
          <w:rFonts w:cs="Arial"/>
          <w:lang w:val="en-US"/>
        </w:rPr>
        <w:t>Morgan Stanley</w:t>
      </w:r>
      <w:r w:rsidRPr="004B0BDE" w:rsidR="00ED22FF">
        <w:rPr>
          <w:rFonts w:cs="Arial"/>
          <w:lang w:val="en-US"/>
        </w:rPr>
        <w:t>, the “</w:t>
      </w:r>
      <w:r w:rsidRPr="004B0BDE" w:rsidR="00ED22FF">
        <w:rPr>
          <w:rFonts w:cs="Arial"/>
          <w:b/>
          <w:lang w:val="en-US"/>
        </w:rPr>
        <w:t>Joint Bookrunners</w:t>
      </w:r>
      <w:r w:rsidRPr="004B0BDE" w:rsidR="00ED22FF">
        <w:rPr>
          <w:rFonts w:cs="Arial"/>
          <w:lang w:val="en-US"/>
        </w:rPr>
        <w:t xml:space="preserve">”) </w:t>
      </w:r>
      <w:r w:rsidRPr="00390267">
        <w:rPr>
          <w:rFonts w:cs="Arial"/>
          <w:lang w:val="en-US"/>
        </w:rPr>
        <w:t xml:space="preserve">at a price of </w:t>
      </w:r>
      <w:r w:rsidR="00992836">
        <w:rPr>
          <w:rFonts w:cs="Arial"/>
          <w:lang w:val="en-US"/>
        </w:rPr>
        <w:t>820</w:t>
      </w:r>
      <w:r w:rsidRPr="00390267">
        <w:rPr>
          <w:rFonts w:cs="Arial"/>
          <w:lang w:val="en-US"/>
        </w:rPr>
        <w:t xml:space="preserve"> pence per Placing Share (the "</w:t>
      </w:r>
      <w:r w:rsidRPr="00390267">
        <w:rPr>
          <w:rFonts w:cs="Arial"/>
          <w:b/>
          <w:lang w:val="en-US"/>
        </w:rPr>
        <w:t>Placing Price</w:t>
      </w:r>
      <w:r w:rsidRPr="00390267">
        <w:rPr>
          <w:rFonts w:cs="Arial"/>
          <w:lang w:val="en-US"/>
        </w:rPr>
        <w:t>").</w:t>
      </w:r>
      <w:r w:rsidRPr="005F0019" w:rsidR="005F0019">
        <w:rPr>
          <w:rFonts w:cs="Arial"/>
          <w:color w:val="000000"/>
          <w14:ligatures w14:val="standardContextual"/>
        </w:rPr>
        <w:t xml:space="preserve"> </w:t>
      </w:r>
      <w:r w:rsidR="005F0019">
        <w:rPr>
          <w:rFonts w:cs="Arial"/>
          <w:color w:val="000000"/>
          <w14:ligatures w14:val="standardContextual"/>
        </w:rPr>
        <w:t>Barclays Bank PLC (“</w:t>
      </w:r>
      <w:r w:rsidRPr="006641E6" w:rsidR="005F0019">
        <w:rPr>
          <w:rFonts w:cs="Arial"/>
          <w:b/>
          <w:bCs/>
          <w:color w:val="000000"/>
          <w14:ligatures w14:val="standardContextual"/>
        </w:rPr>
        <w:t>Barclays</w:t>
      </w:r>
      <w:r w:rsidR="005F0019">
        <w:rPr>
          <w:rFonts w:cs="Arial"/>
          <w:color w:val="000000"/>
          <w14:ligatures w14:val="standardContextual"/>
        </w:rPr>
        <w:t>”) and BNP PARIBAS (“</w:t>
      </w:r>
      <w:r w:rsidRPr="006641E6" w:rsidR="005F0019">
        <w:rPr>
          <w:rFonts w:cs="Arial"/>
          <w:b/>
          <w:bCs/>
          <w:color w:val="000000"/>
          <w14:ligatures w14:val="standardContextual"/>
        </w:rPr>
        <w:t>BNPP</w:t>
      </w:r>
      <w:r w:rsidR="005F0019">
        <w:rPr>
          <w:rFonts w:cs="Arial"/>
          <w:color w:val="000000"/>
          <w14:ligatures w14:val="standardContextual"/>
        </w:rPr>
        <w:t>”) are acting as co-bookrunners in connection with the Placing (</w:t>
      </w:r>
      <w:r w:rsidR="00ED3F5B">
        <w:rPr>
          <w:rFonts w:cs="Arial"/>
          <w:color w:val="000000"/>
          <w14:ligatures w14:val="standardContextual"/>
        </w:rPr>
        <w:t xml:space="preserve">Barclays and BNPP together, </w:t>
      </w:r>
      <w:r w:rsidR="005F0019">
        <w:rPr>
          <w:rFonts w:cs="Arial"/>
          <w:color w:val="000000"/>
          <w14:ligatures w14:val="standardContextual"/>
        </w:rPr>
        <w:t>the “</w:t>
      </w:r>
      <w:r w:rsidRPr="006641E6" w:rsidR="005F0019">
        <w:rPr>
          <w:rFonts w:cs="Arial"/>
          <w:b/>
          <w:bCs/>
          <w:color w:val="000000"/>
          <w14:ligatures w14:val="standardContextual"/>
        </w:rPr>
        <w:t>Co-Bookrunners</w:t>
      </w:r>
      <w:r w:rsidR="005F0019">
        <w:rPr>
          <w:rFonts w:cs="Arial"/>
          <w:color w:val="000000"/>
          <w14:ligatures w14:val="standardContextual"/>
        </w:rPr>
        <w:t>” and together with the Joint Bookrunners, the</w:t>
      </w:r>
      <w:r w:rsidR="00ED3F5B">
        <w:rPr>
          <w:rFonts w:cs="Arial"/>
          <w:color w:val="000000"/>
          <w14:ligatures w14:val="standardContextual"/>
        </w:rPr>
        <w:t> </w:t>
      </w:r>
      <w:r w:rsidR="005F0019">
        <w:rPr>
          <w:rFonts w:cs="Arial"/>
          <w:color w:val="000000"/>
          <w14:ligatures w14:val="standardContextual"/>
        </w:rPr>
        <w:t>“</w:t>
      </w:r>
      <w:r w:rsidR="00EB51E4">
        <w:rPr>
          <w:rFonts w:cs="Arial"/>
          <w:b/>
          <w:bCs/>
          <w:color w:val="000000"/>
          <w14:ligatures w14:val="standardContextual"/>
        </w:rPr>
        <w:t>Banks</w:t>
      </w:r>
      <w:r w:rsidR="005F0019">
        <w:rPr>
          <w:rFonts w:cs="Arial"/>
          <w:color w:val="000000"/>
          <w14:ligatures w14:val="standardContextual"/>
        </w:rPr>
        <w:t>”).</w:t>
      </w:r>
    </w:p>
    <w:p w:rsidR="00390267" w:rsidP="00B27B38" w:rsidRDefault="00390267" w14:paraId="42D3521B" w14:textId="62E6E0EF">
      <w:pPr>
        <w:spacing w:before="240" w:after="240" w:line="276" w:lineRule="auto"/>
        <w:rPr>
          <w:rFonts w:cs="Arial"/>
          <w:lang w:val="en-US"/>
        </w:rPr>
      </w:pPr>
      <w:r w:rsidRPr="00390267">
        <w:rPr>
          <w:rFonts w:cs="Arial"/>
          <w:lang w:val="en-US"/>
        </w:rPr>
        <w:t>Concurrently with the Placing, retail and other investors have subscribed in the offer made by the</w:t>
      </w:r>
      <w:r>
        <w:rPr>
          <w:rFonts w:cs="Arial"/>
          <w:lang w:val="en-US"/>
        </w:rPr>
        <w:t xml:space="preserve"> </w:t>
      </w:r>
      <w:r w:rsidRPr="00390267">
        <w:rPr>
          <w:rFonts w:cs="Arial"/>
          <w:lang w:val="en-US"/>
        </w:rPr>
        <w:t xml:space="preserve">Company via the PrimaryBid platform for a total of </w:t>
      </w:r>
      <w:r w:rsidR="00992836">
        <w:rPr>
          <w:rFonts w:cs="Arial"/>
          <w:lang w:val="en-US"/>
        </w:rPr>
        <w:t xml:space="preserve">829,268 </w:t>
      </w:r>
      <w:r w:rsidRPr="00390267">
        <w:rPr>
          <w:rFonts w:cs="Arial"/>
          <w:lang w:val="en-US"/>
        </w:rPr>
        <w:t>new Ordinary Shares in the capital of the</w:t>
      </w:r>
      <w:r>
        <w:rPr>
          <w:rFonts w:cs="Arial"/>
          <w:lang w:val="en-US"/>
        </w:rPr>
        <w:t xml:space="preserve"> </w:t>
      </w:r>
      <w:r w:rsidRPr="00390267">
        <w:rPr>
          <w:rFonts w:cs="Arial"/>
          <w:lang w:val="en-US"/>
        </w:rPr>
        <w:t>Company (the</w:t>
      </w:r>
      <w:r w:rsidR="00D5331C">
        <w:rPr>
          <w:rFonts w:cs="Arial"/>
          <w:lang w:val="en-US"/>
        </w:rPr>
        <w:t xml:space="preserve"> “</w:t>
      </w:r>
      <w:r w:rsidRPr="00390267">
        <w:rPr>
          <w:rFonts w:cs="Arial"/>
          <w:b/>
          <w:lang w:val="en-US"/>
        </w:rPr>
        <w:t>Retail Offer Shares</w:t>
      </w:r>
      <w:r w:rsidRPr="00390267">
        <w:rPr>
          <w:rFonts w:cs="Arial"/>
          <w:lang w:val="en-US"/>
        </w:rPr>
        <w:t>") at the Placing Price (the "</w:t>
      </w:r>
      <w:r w:rsidRPr="00390267">
        <w:rPr>
          <w:rFonts w:cs="Arial"/>
          <w:b/>
          <w:lang w:val="en-US"/>
        </w:rPr>
        <w:t>Retail Offer</w:t>
      </w:r>
      <w:r w:rsidRPr="00390267">
        <w:rPr>
          <w:rFonts w:cs="Arial"/>
          <w:lang w:val="en-US"/>
        </w:rPr>
        <w:t>").</w:t>
      </w:r>
    </w:p>
    <w:p w:rsidRPr="00390267" w:rsidR="00390267" w:rsidP="00390267" w:rsidRDefault="00390267" w14:paraId="4001B079" w14:textId="64CE69D0">
      <w:pPr>
        <w:spacing w:after="240" w:line="276" w:lineRule="auto"/>
        <w:rPr>
          <w:rFonts w:cs="Arial"/>
          <w:lang w:val="en-US"/>
        </w:rPr>
      </w:pPr>
      <w:r w:rsidRPr="00390267">
        <w:rPr>
          <w:rFonts w:cs="Arial"/>
          <w:lang w:val="en-US"/>
        </w:rPr>
        <w:t>The Placing and Retail Offer in aggregate comprised</w:t>
      </w:r>
      <w:r w:rsidR="00ED3F5B">
        <w:rPr>
          <w:rFonts w:cs="Arial"/>
          <w:lang w:val="en-US"/>
        </w:rPr>
        <w:t xml:space="preserve"> </w:t>
      </w:r>
      <w:r w:rsidR="00992836">
        <w:rPr>
          <w:rFonts w:cs="Arial"/>
          <w:lang w:val="en-US"/>
        </w:rPr>
        <w:t>110,585,366</w:t>
      </w:r>
      <w:r w:rsidRPr="00390267">
        <w:rPr>
          <w:rFonts w:cs="Arial"/>
          <w:lang w:val="en-US"/>
        </w:rPr>
        <w:t xml:space="preserve"> new Ordinary Shares which will</w:t>
      </w:r>
      <w:r>
        <w:rPr>
          <w:rFonts w:cs="Arial"/>
          <w:lang w:val="en-US"/>
        </w:rPr>
        <w:t xml:space="preserve"> </w:t>
      </w:r>
      <w:r w:rsidRPr="00390267">
        <w:rPr>
          <w:rFonts w:cs="Arial"/>
          <w:lang w:val="en-US"/>
        </w:rPr>
        <w:t>raise gros</w:t>
      </w:r>
      <w:r>
        <w:rPr>
          <w:rFonts w:cs="Arial"/>
          <w:lang w:val="en-US"/>
        </w:rPr>
        <w:t>s proceeds of approximately £</w:t>
      </w:r>
      <w:r w:rsidR="00992836">
        <w:rPr>
          <w:rFonts w:cs="Arial"/>
          <w:lang w:val="en-US"/>
        </w:rPr>
        <w:t>907</w:t>
      </w:r>
      <w:r w:rsidRPr="00390267" w:rsidR="00ED3F5B">
        <w:rPr>
          <w:rFonts w:cs="Arial"/>
          <w:lang w:val="en-US"/>
        </w:rPr>
        <w:t xml:space="preserve"> </w:t>
      </w:r>
      <w:r w:rsidRPr="00390267">
        <w:rPr>
          <w:rFonts w:cs="Arial"/>
          <w:lang w:val="en-US"/>
        </w:rPr>
        <w:t xml:space="preserve">million for the </w:t>
      </w:r>
      <w:r>
        <w:rPr>
          <w:rFonts w:cs="Arial"/>
          <w:lang w:val="en-US"/>
        </w:rPr>
        <w:t xml:space="preserve">Company. The Placing Price of </w:t>
      </w:r>
      <w:r w:rsidR="00992836">
        <w:rPr>
          <w:rFonts w:cs="Arial"/>
          <w:lang w:val="en-US"/>
        </w:rPr>
        <w:t>820</w:t>
      </w:r>
      <w:r w:rsidRPr="00390267" w:rsidR="00ED3F5B">
        <w:rPr>
          <w:rFonts w:cs="Arial"/>
          <w:lang w:val="en-US"/>
        </w:rPr>
        <w:t xml:space="preserve"> </w:t>
      </w:r>
      <w:r w:rsidRPr="00390267">
        <w:rPr>
          <w:rFonts w:cs="Arial"/>
          <w:lang w:val="en-US"/>
        </w:rPr>
        <w:t>pence</w:t>
      </w:r>
      <w:r>
        <w:rPr>
          <w:rFonts w:cs="Arial"/>
          <w:lang w:val="en-US"/>
        </w:rPr>
        <w:t xml:space="preserve"> </w:t>
      </w:r>
      <w:r w:rsidRPr="00390267">
        <w:rPr>
          <w:rFonts w:cs="Arial"/>
          <w:lang w:val="en-US"/>
        </w:rPr>
        <w:t xml:space="preserve">represents a discount of </w:t>
      </w:r>
      <w:r w:rsidR="00992836">
        <w:rPr>
          <w:rFonts w:cs="Arial"/>
          <w:lang w:val="en-US"/>
        </w:rPr>
        <w:t>3.4%</w:t>
      </w:r>
      <w:r w:rsidRPr="00390267" w:rsidR="00ED3F5B">
        <w:rPr>
          <w:rFonts w:cs="Arial"/>
          <w:lang w:val="en-US"/>
        </w:rPr>
        <w:t xml:space="preserve"> </w:t>
      </w:r>
      <w:r w:rsidRPr="00390267">
        <w:rPr>
          <w:rFonts w:cs="Arial"/>
          <w:lang w:val="en-US"/>
        </w:rPr>
        <w:t xml:space="preserve">per cent to the </w:t>
      </w:r>
      <w:r w:rsidR="00A70193">
        <w:rPr>
          <w:rFonts w:cs="Arial"/>
          <w:lang w:val="en-US"/>
        </w:rPr>
        <w:t xml:space="preserve">closing price on </w:t>
      </w:r>
      <w:r w:rsidR="00CD6C4C">
        <w:rPr>
          <w:rFonts w:cs="Arial"/>
          <w:lang w:val="en-US"/>
        </w:rPr>
        <w:t>27</w:t>
      </w:r>
      <w:r w:rsidR="00A70193">
        <w:rPr>
          <w:rFonts w:cs="Arial"/>
          <w:lang w:val="en-US"/>
        </w:rPr>
        <w:t xml:space="preserve"> February 2024</w:t>
      </w:r>
      <w:r w:rsidR="00C3536B">
        <w:rPr>
          <w:rFonts w:cs="Arial"/>
          <w:lang w:val="en-US"/>
        </w:rPr>
        <w:t>, which was</w:t>
      </w:r>
      <w:r w:rsidRPr="00390267">
        <w:rPr>
          <w:rFonts w:cs="Arial"/>
          <w:lang w:val="en-US"/>
        </w:rPr>
        <w:t xml:space="preserve"> </w:t>
      </w:r>
      <w:r w:rsidR="00992836">
        <w:rPr>
          <w:rFonts w:cs="Arial"/>
          <w:lang w:val="en-US"/>
        </w:rPr>
        <w:t>849</w:t>
      </w:r>
      <w:r w:rsidRPr="00390267" w:rsidR="00ED3F5B">
        <w:rPr>
          <w:rFonts w:cs="Arial"/>
          <w:lang w:val="en-US"/>
        </w:rPr>
        <w:t xml:space="preserve"> </w:t>
      </w:r>
      <w:r w:rsidRPr="00390267">
        <w:rPr>
          <w:rFonts w:cs="Arial"/>
          <w:lang w:val="en-US"/>
        </w:rPr>
        <w:t>pence. The</w:t>
      </w:r>
      <w:r>
        <w:rPr>
          <w:rFonts w:cs="Arial"/>
          <w:lang w:val="en-US"/>
        </w:rPr>
        <w:t xml:space="preserve"> </w:t>
      </w:r>
      <w:r w:rsidRPr="00390267">
        <w:rPr>
          <w:rFonts w:cs="Arial"/>
          <w:lang w:val="en-US"/>
        </w:rPr>
        <w:t xml:space="preserve">Placing Shares and Retail Offer Shares, in aggregate, represent approximately </w:t>
      </w:r>
      <w:r w:rsidR="00992836">
        <w:rPr>
          <w:rFonts w:cs="Arial"/>
          <w:lang w:val="en-US"/>
        </w:rPr>
        <w:t>9.0%</w:t>
      </w:r>
      <w:r w:rsidRPr="00390267" w:rsidR="00ED3F5B">
        <w:rPr>
          <w:rFonts w:cs="Arial"/>
          <w:lang w:val="en-US"/>
        </w:rPr>
        <w:t xml:space="preserve"> </w:t>
      </w:r>
      <w:r w:rsidRPr="00390267">
        <w:rPr>
          <w:rFonts w:cs="Arial"/>
          <w:lang w:val="en-US"/>
        </w:rPr>
        <w:t>per cent of the</w:t>
      </w:r>
      <w:r>
        <w:rPr>
          <w:rFonts w:cs="Arial"/>
          <w:lang w:val="en-US"/>
        </w:rPr>
        <w:t xml:space="preserve"> </w:t>
      </w:r>
      <w:r w:rsidRPr="00390267">
        <w:rPr>
          <w:rFonts w:cs="Arial"/>
          <w:lang w:val="en-US"/>
        </w:rPr>
        <w:t>existing issued ordinary share capital of SEGRO prior to the Placing.</w:t>
      </w:r>
      <w:r w:rsidR="00F7188A">
        <w:rPr>
          <w:rFonts w:cs="Arial"/>
          <w:lang w:val="en-US"/>
        </w:rPr>
        <w:t xml:space="preserve"> The dilutive impact for existing SEGRO shareholders resulting from the Placing and the Retail Offer represents approximately </w:t>
      </w:r>
      <w:r w:rsidR="00992836">
        <w:rPr>
          <w:rFonts w:cs="Arial"/>
          <w:lang w:val="en-US"/>
        </w:rPr>
        <w:t>8.3%</w:t>
      </w:r>
      <w:r w:rsidRPr="00390267" w:rsidR="00ED3F5B">
        <w:rPr>
          <w:rFonts w:cs="Arial"/>
          <w:lang w:val="en-US"/>
        </w:rPr>
        <w:t xml:space="preserve"> </w:t>
      </w:r>
      <w:r w:rsidR="00F7188A">
        <w:rPr>
          <w:rFonts w:cs="Arial"/>
          <w:lang w:val="en-US"/>
        </w:rPr>
        <w:t>per cent. of the Company’s issued share capital.</w:t>
      </w:r>
    </w:p>
    <w:p w:rsidR="00390267" w:rsidP="00390267" w:rsidRDefault="00390267" w14:paraId="1BDBE38E" w14:textId="5F7018D6">
      <w:pPr>
        <w:spacing w:after="240" w:line="276" w:lineRule="auto"/>
        <w:rPr>
          <w:rFonts w:cs="Arial"/>
          <w:lang w:val="en-US"/>
        </w:rPr>
      </w:pPr>
      <w:r w:rsidRPr="00390267">
        <w:rPr>
          <w:rFonts w:cs="Arial"/>
          <w:lang w:val="en-US"/>
        </w:rPr>
        <w:t xml:space="preserve">SEGRO consulted with </w:t>
      </w:r>
      <w:proofErr w:type="gramStart"/>
      <w:r w:rsidRPr="00390267">
        <w:rPr>
          <w:rFonts w:cs="Arial"/>
          <w:lang w:val="en-US"/>
        </w:rPr>
        <w:t>a number of</w:t>
      </w:r>
      <w:proofErr w:type="gramEnd"/>
      <w:r w:rsidRPr="00390267">
        <w:rPr>
          <w:rFonts w:cs="Arial"/>
          <w:lang w:val="en-US"/>
        </w:rPr>
        <w:t xml:space="preserve"> its major shareholders prior to the Placing and</w:t>
      </w:r>
      <w:r>
        <w:rPr>
          <w:rFonts w:cs="Arial"/>
          <w:lang w:val="en-US"/>
        </w:rPr>
        <w:t xml:space="preserve"> </w:t>
      </w:r>
      <w:r w:rsidRPr="00390267">
        <w:rPr>
          <w:rFonts w:cs="Arial"/>
          <w:lang w:val="en-US"/>
        </w:rPr>
        <w:t>has respected the</w:t>
      </w:r>
      <w:r>
        <w:rPr>
          <w:rFonts w:cs="Arial"/>
          <w:lang w:val="en-US"/>
        </w:rPr>
        <w:t xml:space="preserve"> </w:t>
      </w:r>
      <w:r w:rsidRPr="00390267">
        <w:rPr>
          <w:rFonts w:cs="Arial"/>
          <w:lang w:val="en-US"/>
        </w:rPr>
        <w:t xml:space="preserve">principles of pre-emption through the allocation process. </w:t>
      </w:r>
    </w:p>
    <w:p w:rsidR="00DE6FB3" w:rsidP="000A2FDB" w:rsidRDefault="008B1CCE" w14:paraId="0917619B" w14:textId="0A36F466">
      <w:pPr>
        <w:spacing w:after="240" w:line="276" w:lineRule="auto"/>
        <w:rPr>
          <w:rFonts w:cs="Arial"/>
          <w:lang w:val="en-US"/>
        </w:rPr>
      </w:pPr>
      <w:r>
        <w:rPr>
          <w:rFonts w:cs="Arial"/>
          <w:lang w:val="en-US"/>
        </w:rPr>
        <w:lastRenderedPageBreak/>
        <w:t>For purposes of the Listing Rules set forth in the Financial Conduct Authority (“</w:t>
      </w:r>
      <w:r>
        <w:rPr>
          <w:rFonts w:cs="Arial"/>
          <w:b/>
          <w:bCs/>
          <w:lang w:val="en-US"/>
        </w:rPr>
        <w:t>FCA</w:t>
      </w:r>
      <w:r>
        <w:rPr>
          <w:rFonts w:cs="Arial"/>
          <w:lang w:val="en-US"/>
        </w:rPr>
        <w:t>”) Handbook (the “</w:t>
      </w:r>
      <w:r>
        <w:rPr>
          <w:rFonts w:cs="Arial"/>
          <w:b/>
          <w:bCs/>
          <w:lang w:val="en-US"/>
        </w:rPr>
        <w:t>Listing Rules</w:t>
      </w:r>
      <w:r>
        <w:rPr>
          <w:rFonts w:cs="Arial"/>
          <w:lang w:val="en-US"/>
        </w:rPr>
        <w:t>”) only, BlackRock Inc. (“</w:t>
      </w:r>
      <w:r>
        <w:rPr>
          <w:rFonts w:cs="Arial"/>
          <w:b/>
          <w:bCs/>
          <w:lang w:val="en-US"/>
        </w:rPr>
        <w:t>BlackRock</w:t>
      </w:r>
      <w:r>
        <w:rPr>
          <w:rFonts w:cs="Arial"/>
          <w:lang w:val="en-US"/>
        </w:rPr>
        <w:t xml:space="preserve">”) is a substantial </w:t>
      </w:r>
      <w:r w:rsidRPr="00BF28AD">
        <w:rPr>
          <w:rFonts w:cs="Arial"/>
          <w:lang w:val="en-US"/>
        </w:rPr>
        <w:t>shareholder of the Company and is therefore classified as a related party thereunder. Black</w:t>
      </w:r>
      <w:r w:rsidRPr="00BF28AD" w:rsidR="00BC37D0">
        <w:rPr>
          <w:rFonts w:cs="Arial"/>
          <w:lang w:val="en-US"/>
        </w:rPr>
        <w:t>R</w:t>
      </w:r>
      <w:r w:rsidRPr="00BF28AD">
        <w:rPr>
          <w:rFonts w:cs="Arial"/>
          <w:lang w:val="en-US"/>
        </w:rPr>
        <w:t xml:space="preserve">ock has indirectly through certain of its subsidiary undertakings participated in the Placing and agreed to subscribe for a total of </w:t>
      </w:r>
      <w:r w:rsidRPr="00BF28AD" w:rsidR="00992836">
        <w:rPr>
          <w:rFonts w:cs="Arial"/>
          <w:lang w:val="en-US"/>
        </w:rPr>
        <w:t>11,128,442</w:t>
      </w:r>
      <w:r w:rsidRPr="00BF28AD" w:rsidR="00ED3F5B">
        <w:rPr>
          <w:rFonts w:cs="Arial"/>
          <w:lang w:val="en-US"/>
        </w:rPr>
        <w:t xml:space="preserve"> </w:t>
      </w:r>
      <w:r w:rsidRPr="00BF28AD">
        <w:rPr>
          <w:rFonts w:cs="Arial"/>
          <w:lang w:val="en-US"/>
        </w:rPr>
        <w:t>Placing Shares at the Placing</w:t>
      </w:r>
      <w:r>
        <w:rPr>
          <w:rFonts w:cs="Arial"/>
          <w:lang w:val="en-US"/>
        </w:rPr>
        <w:t xml:space="preserve"> Price for an aggregate value of £</w:t>
      </w:r>
      <w:r w:rsidR="00793546">
        <w:rPr>
          <w:rFonts w:cs="Arial"/>
          <w:lang w:val="en-US"/>
        </w:rPr>
        <w:t>91,253,224</w:t>
      </w:r>
      <w:r>
        <w:rPr>
          <w:rFonts w:cs="Arial"/>
          <w:lang w:val="en-US"/>
        </w:rPr>
        <w:t xml:space="preserve">. Following BlackRock’s participation in the Placing, it will be entitled to control the exercise of voting rights in respect of approximately </w:t>
      </w:r>
      <w:r w:rsidR="00793546">
        <w:rPr>
          <w:rFonts w:cs="Arial"/>
          <w:lang w:val="en-US"/>
        </w:rPr>
        <w:t>10.9%</w:t>
      </w:r>
      <w:r w:rsidR="00ED3F5B">
        <w:rPr>
          <w:rFonts w:cs="Arial"/>
          <w:lang w:val="en-US"/>
        </w:rPr>
        <w:t xml:space="preserve"> </w:t>
      </w:r>
      <w:r>
        <w:rPr>
          <w:rFonts w:cs="Arial"/>
          <w:lang w:val="en-US"/>
        </w:rPr>
        <w:t>per cent. of the Company’s issued share capital. The participation in the Placing by BlackRock constitutes a "smaller" related party transaction and falls within Listing Rule</w:t>
      </w:r>
      <w:r w:rsidR="00BC37D0">
        <w:rPr>
          <w:rFonts w:cs="Arial"/>
          <w:lang w:val="en-US"/>
        </w:rPr>
        <w:t> </w:t>
      </w:r>
      <w:r>
        <w:rPr>
          <w:rFonts w:cs="Arial"/>
          <w:lang w:val="en-US"/>
        </w:rPr>
        <w:t>11.1.10R(1) and this announcement is therefore made in accordance with Listing Rule 11.1.10R(2)(c)</w:t>
      </w:r>
      <w:r w:rsidRPr="00226324" w:rsidR="00DE6FB3">
        <w:rPr>
          <w:rFonts w:cs="Arial"/>
          <w:lang w:val="en-US"/>
        </w:rPr>
        <w:t>.</w:t>
      </w:r>
    </w:p>
    <w:p w:rsidR="00390267" w:rsidP="00390267" w:rsidRDefault="00390267" w14:paraId="1AFF83F0" w14:textId="404B1EE4">
      <w:pPr>
        <w:spacing w:after="240" w:line="276" w:lineRule="auto"/>
        <w:rPr>
          <w:rFonts w:cs="Arial"/>
          <w:lang w:val="en-US"/>
        </w:rPr>
      </w:pPr>
      <w:r w:rsidRPr="00390267">
        <w:rPr>
          <w:rFonts w:cs="Arial"/>
          <w:lang w:val="en-US"/>
        </w:rPr>
        <w:t xml:space="preserve">Applications have been made to the </w:t>
      </w:r>
      <w:r w:rsidR="0034229D">
        <w:rPr>
          <w:rFonts w:cs="Arial"/>
          <w:lang w:val="en-US"/>
        </w:rPr>
        <w:t>FCA</w:t>
      </w:r>
      <w:r w:rsidRPr="00390267">
        <w:rPr>
          <w:rFonts w:cs="Arial"/>
          <w:lang w:val="en-US"/>
        </w:rPr>
        <w:t xml:space="preserve"> and London Stock</w:t>
      </w:r>
      <w:r>
        <w:rPr>
          <w:rFonts w:cs="Arial"/>
          <w:lang w:val="en-US"/>
        </w:rPr>
        <w:t xml:space="preserve"> </w:t>
      </w:r>
      <w:r w:rsidRPr="00390267">
        <w:rPr>
          <w:rFonts w:cs="Arial"/>
          <w:lang w:val="en-US"/>
        </w:rPr>
        <w:t>Exchange plc (the "</w:t>
      </w:r>
      <w:r w:rsidRPr="00390267">
        <w:rPr>
          <w:rFonts w:cs="Arial"/>
          <w:b/>
          <w:lang w:val="en-US"/>
        </w:rPr>
        <w:t>LSE</w:t>
      </w:r>
      <w:r w:rsidRPr="00390267">
        <w:rPr>
          <w:rFonts w:cs="Arial"/>
          <w:lang w:val="en-US"/>
        </w:rPr>
        <w:t>") respectively for the admission of the Placing Shares and the Retail Offer</w:t>
      </w:r>
      <w:r>
        <w:rPr>
          <w:rFonts w:cs="Arial"/>
          <w:lang w:val="en-US"/>
        </w:rPr>
        <w:t xml:space="preserve"> </w:t>
      </w:r>
      <w:r w:rsidRPr="00390267">
        <w:rPr>
          <w:rFonts w:cs="Arial"/>
          <w:lang w:val="en-US"/>
        </w:rPr>
        <w:t>Shares to the premium listing segment of the Official List of the FCA and to trading on the main</w:t>
      </w:r>
      <w:r>
        <w:rPr>
          <w:rFonts w:cs="Arial"/>
          <w:lang w:val="en-US"/>
        </w:rPr>
        <w:t xml:space="preserve"> </w:t>
      </w:r>
      <w:r w:rsidRPr="00390267">
        <w:rPr>
          <w:rFonts w:cs="Arial"/>
          <w:lang w:val="en-US"/>
        </w:rPr>
        <w:t xml:space="preserve">market for listed securities of the LSE </w:t>
      </w:r>
      <w:bookmarkStart w:name="_Hlk156410733" w:id="1"/>
      <w:r w:rsidR="0061159B">
        <w:rPr>
          <w:rFonts w:cs="Arial"/>
          <w:lang w:val="en-US"/>
        </w:rPr>
        <w:t xml:space="preserve">and </w:t>
      </w:r>
      <w:bookmarkStart w:name="_Hlk156403683" w:id="2"/>
      <w:r w:rsidR="0061159B">
        <w:rPr>
          <w:rFonts w:cs="Arial"/>
          <w:lang w:val="en-US"/>
        </w:rPr>
        <w:t>to</w:t>
      </w:r>
      <w:r>
        <w:rPr>
          <w:rFonts w:cs="Arial"/>
          <w:lang w:val="en-US"/>
        </w:rPr>
        <w:t xml:space="preserve"> Euronext</w:t>
      </w:r>
      <w:r w:rsidR="005D31D9">
        <w:rPr>
          <w:rFonts w:cs="Arial"/>
          <w:lang w:val="en-US"/>
        </w:rPr>
        <w:t xml:space="preserve"> Paris S.A.</w:t>
      </w:r>
      <w:r>
        <w:rPr>
          <w:rFonts w:cs="Arial"/>
          <w:lang w:val="en-US"/>
        </w:rPr>
        <w:t xml:space="preserve"> </w:t>
      </w:r>
      <w:r>
        <w:rPr>
          <w:rFonts w:cs="Arial"/>
        </w:rPr>
        <w:t>for admission to listing and trading on Euronext</w:t>
      </w:r>
      <w:r w:rsidR="005D31D9">
        <w:rPr>
          <w:rFonts w:cs="Arial"/>
        </w:rPr>
        <w:t xml:space="preserve"> in Paris, France (“</w:t>
      </w:r>
      <w:r w:rsidR="005D31D9">
        <w:rPr>
          <w:rFonts w:cs="Arial"/>
          <w:b/>
          <w:bCs/>
        </w:rPr>
        <w:t xml:space="preserve">Euronext </w:t>
      </w:r>
      <w:r w:rsidRPr="005D31D9" w:rsidR="005D31D9">
        <w:rPr>
          <w:rFonts w:cs="Arial"/>
          <w:b/>
          <w:bCs/>
        </w:rPr>
        <w:t>Paris</w:t>
      </w:r>
      <w:r w:rsidR="005D31D9">
        <w:rPr>
          <w:rFonts w:cs="Arial"/>
        </w:rPr>
        <w:t>”)</w:t>
      </w:r>
      <w:r w:rsidRPr="004B0BDE">
        <w:rPr>
          <w:rFonts w:cs="Arial"/>
        </w:rPr>
        <w:t xml:space="preserve"> </w:t>
      </w:r>
      <w:bookmarkEnd w:id="1"/>
      <w:r w:rsidRPr="00390267">
        <w:rPr>
          <w:rFonts w:cs="Arial"/>
          <w:lang w:val="en-US"/>
        </w:rPr>
        <w:t>(together,</w:t>
      </w:r>
      <w:r w:rsidR="00DE060B">
        <w:rPr>
          <w:rFonts w:cs="Arial"/>
          <w:lang w:val="en-US"/>
        </w:rPr>
        <w:t> </w:t>
      </w:r>
      <w:r w:rsidRPr="00390267">
        <w:rPr>
          <w:rFonts w:cs="Arial"/>
          <w:lang w:val="en-US"/>
        </w:rPr>
        <w:t>"</w:t>
      </w:r>
      <w:r w:rsidRPr="00E10D5C">
        <w:rPr>
          <w:rFonts w:cs="Arial"/>
          <w:b/>
          <w:lang w:val="en-US"/>
        </w:rPr>
        <w:t>Admission</w:t>
      </w:r>
      <w:r w:rsidRPr="00390267">
        <w:rPr>
          <w:rFonts w:cs="Arial"/>
          <w:lang w:val="en-US"/>
        </w:rPr>
        <w:t xml:space="preserve">"). </w:t>
      </w:r>
      <w:bookmarkEnd w:id="2"/>
      <w:r w:rsidRPr="00390267">
        <w:rPr>
          <w:rFonts w:cs="Arial"/>
          <w:lang w:val="en-US"/>
        </w:rPr>
        <w:t>It is expected that Admission will</w:t>
      </w:r>
      <w:r w:rsidR="00E10D5C">
        <w:rPr>
          <w:rFonts w:cs="Arial"/>
          <w:lang w:val="en-US"/>
        </w:rPr>
        <w:t xml:space="preserve"> </w:t>
      </w:r>
      <w:r w:rsidRPr="00390267">
        <w:rPr>
          <w:rFonts w:cs="Arial"/>
          <w:lang w:val="en-US"/>
        </w:rPr>
        <w:t xml:space="preserve">become effective on or before 8.00 a.m. </w:t>
      </w:r>
      <w:r w:rsidR="00E10D5C">
        <w:rPr>
          <w:rFonts w:cs="Arial"/>
          <w:lang w:val="en-US"/>
        </w:rPr>
        <w:t xml:space="preserve">(London time) </w:t>
      </w:r>
      <w:r w:rsidR="00DE060B">
        <w:rPr>
          <w:rFonts w:cs="Arial"/>
          <w:lang w:val="en-US"/>
        </w:rPr>
        <w:t xml:space="preserve">/ 9.00 a.m. (Paris time) </w:t>
      </w:r>
      <w:r w:rsidR="00E10D5C">
        <w:rPr>
          <w:rFonts w:cs="Arial"/>
          <w:lang w:val="en-US"/>
        </w:rPr>
        <w:t xml:space="preserve">on </w:t>
      </w:r>
      <w:r w:rsidR="00CD6C4C">
        <w:rPr>
          <w:rFonts w:cs="Arial"/>
          <w:lang w:val="en-US"/>
        </w:rPr>
        <w:t>1</w:t>
      </w:r>
      <w:r w:rsidR="00E10D5C">
        <w:rPr>
          <w:rFonts w:cs="Arial"/>
          <w:lang w:val="en-US"/>
        </w:rPr>
        <w:t xml:space="preserve"> </w:t>
      </w:r>
      <w:r w:rsidR="00CD6C4C">
        <w:rPr>
          <w:rFonts w:cs="Arial"/>
          <w:lang w:val="en-US"/>
        </w:rPr>
        <w:t>March</w:t>
      </w:r>
      <w:r w:rsidR="00E809C3">
        <w:rPr>
          <w:rFonts w:cs="Arial"/>
          <w:lang w:val="en-US"/>
        </w:rPr>
        <w:t xml:space="preserve"> </w:t>
      </w:r>
      <w:r w:rsidR="00D5331C">
        <w:rPr>
          <w:rFonts w:cs="Arial"/>
          <w:lang w:val="en-US"/>
        </w:rPr>
        <w:t>2024</w:t>
      </w:r>
      <w:r w:rsidRPr="00390267">
        <w:rPr>
          <w:rFonts w:cs="Arial"/>
          <w:lang w:val="en-US"/>
        </w:rPr>
        <w:t>. The Placing and the Retail Offer are</w:t>
      </w:r>
      <w:r w:rsidR="00E10D5C">
        <w:rPr>
          <w:rFonts w:cs="Arial"/>
          <w:lang w:val="en-US"/>
        </w:rPr>
        <w:t xml:space="preserve"> </w:t>
      </w:r>
      <w:r w:rsidRPr="00390267">
        <w:rPr>
          <w:rFonts w:cs="Arial"/>
          <w:lang w:val="en-US"/>
        </w:rPr>
        <w:t>conditional upon, amongst other things, Admission becomin</w:t>
      </w:r>
      <w:r w:rsidR="00E10D5C">
        <w:rPr>
          <w:rFonts w:cs="Arial"/>
          <w:lang w:val="en-US"/>
        </w:rPr>
        <w:t xml:space="preserve">g effective and upon the placing </w:t>
      </w:r>
      <w:r w:rsidRPr="00390267">
        <w:rPr>
          <w:rFonts w:cs="Arial"/>
          <w:lang w:val="en-US"/>
        </w:rPr>
        <w:t xml:space="preserve">agreement between the Company and the </w:t>
      </w:r>
      <w:r w:rsidR="00EB51E4">
        <w:rPr>
          <w:rFonts w:cs="Arial"/>
          <w:lang w:val="en-US"/>
        </w:rPr>
        <w:t>Banks</w:t>
      </w:r>
      <w:r w:rsidRPr="00390267" w:rsidR="00EB51E4">
        <w:rPr>
          <w:rFonts w:cs="Arial"/>
          <w:lang w:val="en-US"/>
        </w:rPr>
        <w:t xml:space="preserve"> </w:t>
      </w:r>
      <w:r w:rsidRPr="00390267">
        <w:rPr>
          <w:rFonts w:cs="Arial"/>
          <w:lang w:val="en-US"/>
        </w:rPr>
        <w:t>not being terminated in accordance with</w:t>
      </w:r>
      <w:r w:rsidR="00E10D5C">
        <w:rPr>
          <w:rFonts w:cs="Arial"/>
          <w:lang w:val="en-US"/>
        </w:rPr>
        <w:t xml:space="preserve"> </w:t>
      </w:r>
      <w:r w:rsidRPr="00390267">
        <w:rPr>
          <w:rFonts w:cs="Arial"/>
          <w:lang w:val="en-US"/>
        </w:rPr>
        <w:t>its terms.</w:t>
      </w:r>
    </w:p>
    <w:p w:rsidR="00390267" w:rsidP="00E10D5C" w:rsidRDefault="00E10D5C" w14:paraId="49A11A34" w14:textId="073F8E74">
      <w:pPr>
        <w:spacing w:after="240" w:line="276" w:lineRule="auto"/>
        <w:rPr>
          <w:rFonts w:cs="Arial"/>
          <w:lang w:val="en-US"/>
        </w:rPr>
      </w:pPr>
      <w:r w:rsidRPr="00E10D5C">
        <w:rPr>
          <w:rFonts w:cs="Arial"/>
          <w:lang w:val="en-US"/>
        </w:rPr>
        <w:t xml:space="preserve">The Placing Shares and Retail Offer Shares will, when issued, be credited as fully paid and rank </w:t>
      </w:r>
      <w:r w:rsidRPr="00E10D5C">
        <w:rPr>
          <w:rFonts w:cs="Arial"/>
          <w:i/>
          <w:lang w:val="en-US"/>
        </w:rPr>
        <w:t>pari passu</w:t>
      </w:r>
      <w:r w:rsidRPr="00E10D5C">
        <w:rPr>
          <w:rFonts w:cs="Arial"/>
          <w:lang w:val="en-US"/>
        </w:rPr>
        <w:t xml:space="preserve"> in all respects with the existing </w:t>
      </w:r>
      <w:r>
        <w:rPr>
          <w:rFonts w:cs="Arial"/>
          <w:lang w:val="en-US"/>
        </w:rPr>
        <w:t>Ordinary Shares</w:t>
      </w:r>
      <w:r w:rsidRPr="00E10D5C">
        <w:rPr>
          <w:rFonts w:cs="Arial"/>
          <w:lang w:val="en-US"/>
        </w:rPr>
        <w:t>, including, without limitation, the right to receive all dividends and other distributions</w:t>
      </w:r>
      <w:r>
        <w:rPr>
          <w:rFonts w:cs="Arial"/>
          <w:lang w:val="en-US"/>
        </w:rPr>
        <w:t xml:space="preserve"> </w:t>
      </w:r>
      <w:r w:rsidRPr="00E10D5C">
        <w:rPr>
          <w:rFonts w:cs="Arial"/>
          <w:lang w:val="en-US"/>
        </w:rPr>
        <w:t xml:space="preserve">declared, </w:t>
      </w:r>
      <w:proofErr w:type="gramStart"/>
      <w:r w:rsidRPr="00E10D5C">
        <w:rPr>
          <w:rFonts w:cs="Arial"/>
          <w:lang w:val="en-US"/>
        </w:rPr>
        <w:t>made</w:t>
      </w:r>
      <w:proofErr w:type="gramEnd"/>
      <w:r w:rsidRPr="00E10D5C">
        <w:rPr>
          <w:rFonts w:cs="Arial"/>
          <w:lang w:val="en-US"/>
        </w:rPr>
        <w:t xml:space="preserve"> or paid after the date of issue.</w:t>
      </w:r>
    </w:p>
    <w:p w:rsidR="00390267" w:rsidP="00E10D5C" w:rsidRDefault="003023E3" w14:paraId="44771D53" w14:textId="68F03C6D">
      <w:pPr>
        <w:spacing w:after="240" w:line="276" w:lineRule="auto"/>
        <w:rPr>
          <w:rFonts w:cs="Arial"/>
          <w:lang w:val="en-US"/>
        </w:rPr>
      </w:pPr>
      <w:r>
        <w:rPr>
          <w:rFonts w:cs="Arial"/>
          <w:lang w:val="en-US"/>
        </w:rPr>
        <w:t>For purposes of the Disclosure Guidance and Transparency Rules, f</w:t>
      </w:r>
      <w:r w:rsidRPr="00E10D5C" w:rsidR="00E10D5C">
        <w:rPr>
          <w:rFonts w:cs="Arial"/>
          <w:lang w:val="en-US"/>
        </w:rPr>
        <w:t xml:space="preserve">ollowing Admission, the total number of shares in issue in the Company will be </w:t>
      </w:r>
      <w:r w:rsidR="00793546">
        <w:rPr>
          <w:rFonts w:cs="Arial"/>
          <w:lang w:val="en-US"/>
        </w:rPr>
        <w:t>1,338,190,555</w:t>
      </w:r>
      <w:r w:rsidR="00E10D5C">
        <w:rPr>
          <w:rFonts w:cs="Arial"/>
          <w:lang w:val="en-US"/>
        </w:rPr>
        <w:t xml:space="preserve">. </w:t>
      </w:r>
      <w:r w:rsidRPr="00E10D5C" w:rsidR="00E10D5C">
        <w:rPr>
          <w:rFonts w:cs="Arial"/>
          <w:lang w:val="en-US"/>
        </w:rPr>
        <w:t xml:space="preserve">SEGRO currently holds </w:t>
      </w:r>
      <w:r w:rsidR="00E10D5C">
        <w:rPr>
          <w:rFonts w:cs="Arial"/>
          <w:lang w:val="en-US"/>
        </w:rPr>
        <w:t xml:space="preserve">no shares </w:t>
      </w:r>
      <w:r w:rsidRPr="00E10D5C" w:rsidR="00E10D5C">
        <w:rPr>
          <w:rFonts w:cs="Arial"/>
          <w:lang w:val="en-US"/>
        </w:rPr>
        <w:t>as treasury shares, and, therefore, following Admission, the total</w:t>
      </w:r>
      <w:r w:rsidR="00E10D5C">
        <w:rPr>
          <w:rFonts w:cs="Arial"/>
          <w:lang w:val="en-US"/>
        </w:rPr>
        <w:t xml:space="preserve"> </w:t>
      </w:r>
      <w:r w:rsidRPr="00E10D5C" w:rsidR="00E10D5C">
        <w:rPr>
          <w:rFonts w:cs="Arial"/>
          <w:lang w:val="en-US"/>
        </w:rPr>
        <w:t xml:space="preserve">number of voting shares in SEGRO in issue will be </w:t>
      </w:r>
      <w:r w:rsidR="00793546">
        <w:rPr>
          <w:rFonts w:cs="Arial"/>
          <w:lang w:val="en-US"/>
        </w:rPr>
        <w:t>1,338,190,555</w:t>
      </w:r>
      <w:r w:rsidRPr="00E10D5C" w:rsidR="00E10D5C">
        <w:rPr>
          <w:rFonts w:cs="Arial"/>
          <w:lang w:val="en-US"/>
        </w:rPr>
        <w:t>.</w:t>
      </w:r>
      <w:r>
        <w:rPr>
          <w:rFonts w:cs="Arial"/>
          <w:lang w:val="en-US"/>
        </w:rPr>
        <w:t xml:space="preserve"> This figure </w:t>
      </w:r>
      <w:r w:rsidRPr="003023E3">
        <w:rPr>
          <w:rFonts w:cs="Arial"/>
          <w:lang w:val="en-US"/>
        </w:rPr>
        <w:t>may be used by shareholders as the denominator for the calculations by which they will determine if they are required to notify their interest in, or a change to their interest in, the Company under the Disclosure Guidance and Transparency Rules.</w:t>
      </w:r>
    </w:p>
    <w:p w:rsidRPr="004B0BDE" w:rsidR="00EB36D1" w:rsidP="00583219" w:rsidRDefault="003D7277" w14:paraId="6604802B" w14:textId="491AB3B8">
      <w:pPr>
        <w:spacing w:after="240" w:line="276" w:lineRule="auto"/>
        <w:rPr>
          <w:rFonts w:cs="Arial"/>
          <w:lang w:val="en-US"/>
        </w:rPr>
      </w:pPr>
      <w:r w:rsidRPr="004B0BDE">
        <w:rPr>
          <w:rFonts w:cs="Arial"/>
          <w:lang w:val="en-US"/>
        </w:rPr>
        <w:t xml:space="preserve">The person responsible for arranging release of this Announcement on behalf of SEGRO is </w:t>
      </w:r>
      <w:r w:rsidR="00E10D5C">
        <w:rPr>
          <w:rFonts w:cs="Arial"/>
          <w:lang w:val="en-US"/>
        </w:rPr>
        <w:t>Stephanie Murton</w:t>
      </w:r>
      <w:r w:rsidRPr="004B0BDE">
        <w:rPr>
          <w:rFonts w:cs="Arial"/>
          <w:lang w:val="en-US"/>
        </w:rPr>
        <w:t>.</w:t>
      </w:r>
      <w:r w:rsidRPr="004B0BDE" w:rsidR="009251B5">
        <w:rPr>
          <w:rFonts w:cs="Arial"/>
          <w:lang w:val="en-US"/>
        </w:rPr>
        <w:t xml:space="preserve"> </w:t>
      </w:r>
    </w:p>
    <w:p w:rsidRPr="004B0BDE" w:rsidR="00583219" w:rsidP="004B0BDE" w:rsidRDefault="003D7277" w14:paraId="55B5EFB9" w14:textId="0BCDF713">
      <w:pPr>
        <w:keepNext/>
        <w:spacing w:after="240" w:line="276" w:lineRule="auto"/>
        <w:rPr>
          <w:rFonts w:cs="Arial"/>
          <w:lang w:val="en-US"/>
        </w:rPr>
      </w:pPr>
      <w:r w:rsidRPr="004B0BDE">
        <w:rPr>
          <w:rFonts w:cs="Arial"/>
          <w:lang w:val="en-US"/>
        </w:rPr>
        <w:t>For further information on the Announcement, please contact</w:t>
      </w:r>
      <w:r w:rsidR="004B0BDE">
        <w:rPr>
          <w:rFonts w:cs="Arial"/>
          <w:lang w:val="en-US"/>
        </w:rPr>
        <w:t>:</w:t>
      </w:r>
    </w:p>
    <w:p w:rsidRPr="00C202B8" w:rsidR="00583219" w:rsidP="00DE060B" w:rsidRDefault="003D7277" w14:paraId="3FBA80F2" w14:textId="1BD15F60">
      <w:pPr>
        <w:spacing w:line="276" w:lineRule="auto"/>
        <w:rPr>
          <w:rFonts w:cs="Arial"/>
          <w:b/>
          <w:lang w:val="en-US"/>
        </w:rPr>
      </w:pPr>
      <w:r w:rsidRPr="00C202B8">
        <w:rPr>
          <w:rFonts w:cs="Arial"/>
          <w:b/>
          <w:lang w:val="en-US"/>
        </w:rPr>
        <w:t>SEGRO plc:</w:t>
      </w:r>
      <w:r w:rsidRPr="00C202B8" w:rsidR="00C202B8">
        <w:rPr>
          <w:rFonts w:cs="Arial"/>
          <w:b/>
          <w:lang w:val="en-US"/>
        </w:rPr>
        <w:tab/>
      </w:r>
      <w:r w:rsidRPr="00C202B8" w:rsidR="00C202B8">
        <w:rPr>
          <w:rFonts w:cs="Arial"/>
          <w:b/>
          <w:lang w:val="en-US"/>
        </w:rPr>
        <w:tab/>
      </w:r>
      <w:r w:rsidRPr="00C202B8" w:rsidR="00C202B8">
        <w:rPr>
          <w:rFonts w:cs="Arial"/>
          <w:b/>
          <w:lang w:val="en-US"/>
        </w:rPr>
        <w:tab/>
      </w:r>
      <w:r w:rsidRPr="00C202B8" w:rsidR="00C202B8">
        <w:rPr>
          <w:rFonts w:cs="Arial"/>
          <w:b/>
          <w:lang w:val="en-US"/>
        </w:rPr>
        <w:tab/>
      </w:r>
      <w:r w:rsidRPr="00C202B8" w:rsidR="00C202B8">
        <w:rPr>
          <w:rFonts w:cs="Arial"/>
          <w:b/>
          <w:lang w:val="en-US"/>
        </w:rPr>
        <w:tab/>
      </w:r>
      <w:r w:rsidRPr="00C202B8" w:rsidR="00C202B8">
        <w:rPr>
          <w:rFonts w:cs="Arial"/>
          <w:b/>
          <w:lang w:val="en-US"/>
        </w:rPr>
        <w:tab/>
      </w:r>
      <w:r w:rsidRPr="00C202B8" w:rsidR="00C202B8">
        <w:rPr>
          <w:rFonts w:cs="Arial"/>
          <w:b/>
          <w:lang w:val="en-US"/>
        </w:rPr>
        <w:tab/>
      </w:r>
      <w:r w:rsidRPr="00C202B8" w:rsidR="00C202B8">
        <w:rPr>
          <w:rFonts w:cs="Arial"/>
          <w:b/>
          <w:lang w:val="en-US"/>
        </w:rPr>
        <w:tab/>
      </w:r>
      <w:r w:rsidRPr="00C202B8" w:rsidR="00C202B8">
        <w:rPr>
          <w:b/>
          <w:lang w:val="en-US"/>
        </w:rPr>
        <w:t>+44 (0) 20 7451 9048</w:t>
      </w:r>
    </w:p>
    <w:p w:rsidRPr="004931CE" w:rsidR="00D5331C" w:rsidP="00DE060B" w:rsidRDefault="00D5331C" w14:paraId="08E068EA" w14:textId="52CC1BA3">
      <w:pPr>
        <w:pStyle w:val="Normal1"/>
        <w:spacing w:after="240"/>
        <w:jc w:val="left"/>
        <w:rPr>
          <w:spacing w:val="0"/>
          <w:szCs w:val="20"/>
          <w:lang w:val="en-US"/>
        </w:rPr>
      </w:pPr>
      <w:r w:rsidRPr="004931CE">
        <w:rPr>
          <w:spacing w:val="0"/>
          <w:szCs w:val="20"/>
          <w:lang w:val="en-US"/>
        </w:rPr>
        <w:t>David Sleath, Chief Executive</w:t>
      </w:r>
      <w:r w:rsidRPr="004931CE">
        <w:rPr>
          <w:spacing w:val="0"/>
          <w:szCs w:val="20"/>
          <w:lang w:val="en-US"/>
        </w:rPr>
        <w:br/>
        <w:t>Soumen Das, Chief Financial Officer</w:t>
      </w:r>
      <w:r w:rsidRPr="004931CE">
        <w:rPr>
          <w:spacing w:val="0"/>
          <w:szCs w:val="20"/>
          <w:lang w:val="en-US"/>
        </w:rPr>
        <w:br/>
      </w:r>
      <w:r>
        <w:rPr>
          <w:spacing w:val="0"/>
          <w:szCs w:val="20"/>
          <w:lang w:val="en-US"/>
        </w:rPr>
        <w:t>Harry Stokes</w:t>
      </w:r>
      <w:r w:rsidRPr="004931CE">
        <w:rPr>
          <w:spacing w:val="0"/>
          <w:szCs w:val="20"/>
          <w:lang w:val="en-US"/>
        </w:rPr>
        <w:t>, Commercial Finance Director</w:t>
      </w:r>
      <w:r w:rsidRPr="004931CE">
        <w:rPr>
          <w:spacing w:val="0"/>
          <w:szCs w:val="20"/>
          <w:lang w:val="en-US"/>
        </w:rPr>
        <w:br/>
      </w:r>
      <w:r>
        <w:rPr>
          <w:spacing w:val="0"/>
          <w:szCs w:val="20"/>
          <w:lang w:val="en-US"/>
        </w:rPr>
        <w:t>Claire Mogford</w:t>
      </w:r>
      <w:r w:rsidRPr="004931CE">
        <w:rPr>
          <w:spacing w:val="0"/>
          <w:szCs w:val="20"/>
          <w:lang w:val="en-US"/>
        </w:rPr>
        <w:t>, Head of Investor Relations</w:t>
      </w:r>
      <w:r w:rsidRPr="004931CE">
        <w:rPr>
          <w:spacing w:val="0"/>
          <w:szCs w:val="20"/>
          <w:lang w:val="en-US"/>
        </w:rPr>
        <w:tab/>
        <w:t xml:space="preserve"> </w:t>
      </w:r>
      <w:r w:rsidRPr="004931CE">
        <w:rPr>
          <w:spacing w:val="0"/>
          <w:szCs w:val="20"/>
          <w:lang w:val="en-US"/>
        </w:rPr>
        <w:tab/>
      </w:r>
      <w:r w:rsidRPr="004931CE">
        <w:rPr>
          <w:spacing w:val="0"/>
          <w:szCs w:val="20"/>
          <w:lang w:val="en-US"/>
        </w:rPr>
        <w:tab/>
      </w:r>
      <w:r w:rsidRPr="004931CE">
        <w:rPr>
          <w:spacing w:val="0"/>
          <w:szCs w:val="20"/>
          <w:lang w:val="en-US"/>
        </w:rPr>
        <w:tab/>
      </w:r>
    </w:p>
    <w:p w:rsidRPr="00C202B8" w:rsidR="00C202B8" w:rsidP="00DE060B" w:rsidRDefault="00C202B8" w14:paraId="65373AF6" w14:textId="31F85CBD">
      <w:pPr>
        <w:spacing w:line="276" w:lineRule="auto"/>
        <w:rPr>
          <w:rFonts w:cs="Arial"/>
          <w:b/>
          <w:bCs/>
        </w:rPr>
      </w:pPr>
      <w:r w:rsidRPr="00C202B8">
        <w:rPr>
          <w:rFonts w:cs="Arial"/>
          <w:b/>
          <w:bCs/>
        </w:rPr>
        <w:t>Morgan Stanley</w:t>
      </w:r>
      <w:r w:rsidR="00EB3836">
        <w:rPr>
          <w:rFonts w:cs="Arial"/>
          <w:b/>
          <w:bCs/>
        </w:rPr>
        <w:t xml:space="preserve"> (Joint Bookrunner)</w:t>
      </w:r>
      <w:r w:rsidRPr="00C202B8">
        <w:rPr>
          <w:rFonts w:cs="Arial"/>
          <w:b/>
          <w:bCs/>
        </w:rPr>
        <w:t>:</w:t>
      </w:r>
      <w:r w:rsidRPr="00C202B8">
        <w:rPr>
          <w:rFonts w:cs="Arial"/>
          <w:b/>
          <w:bCs/>
        </w:rPr>
        <w:tab/>
      </w:r>
      <w:r w:rsidRPr="00C202B8">
        <w:rPr>
          <w:rFonts w:cs="Arial"/>
          <w:b/>
          <w:bCs/>
        </w:rPr>
        <w:tab/>
      </w:r>
      <w:r w:rsidRPr="00C202B8">
        <w:rPr>
          <w:rFonts w:cs="Arial"/>
          <w:b/>
          <w:bCs/>
        </w:rPr>
        <w:tab/>
      </w:r>
      <w:r w:rsidRPr="00C202B8">
        <w:rPr>
          <w:rFonts w:cs="Arial"/>
          <w:b/>
          <w:bCs/>
        </w:rPr>
        <w:tab/>
      </w:r>
      <w:r w:rsidRPr="00C202B8">
        <w:rPr>
          <w:rFonts w:cs="Arial"/>
          <w:b/>
          <w:bCs/>
        </w:rPr>
        <w:tab/>
        <w:t>+44 (0) 20 7425 8000</w:t>
      </w:r>
      <w:r w:rsidRPr="00C202B8" w:rsidDel="002E2FA6">
        <w:rPr>
          <w:rFonts w:cs="Arial"/>
          <w:b/>
          <w:bCs/>
        </w:rPr>
        <w:t xml:space="preserve"> </w:t>
      </w:r>
    </w:p>
    <w:p w:rsidR="00C202B8" w:rsidP="00DE060B" w:rsidRDefault="00C202B8" w14:paraId="12DDE4C8" w14:textId="77777777">
      <w:pPr>
        <w:spacing w:line="276" w:lineRule="auto"/>
        <w:rPr>
          <w:rFonts w:cs="Arial"/>
        </w:rPr>
      </w:pPr>
      <w:r>
        <w:rPr>
          <w:rFonts w:cs="Arial"/>
        </w:rPr>
        <w:t>Nick White</w:t>
      </w:r>
    </w:p>
    <w:p w:rsidR="00C202B8" w:rsidP="00DE060B" w:rsidRDefault="00C202B8" w14:paraId="659E9855" w14:textId="77777777">
      <w:pPr>
        <w:spacing w:line="276" w:lineRule="auto"/>
        <w:rPr>
          <w:rFonts w:cs="Arial"/>
        </w:rPr>
      </w:pPr>
      <w:r>
        <w:rPr>
          <w:rFonts w:cs="Arial"/>
        </w:rPr>
        <w:t>Tom Perry</w:t>
      </w:r>
    </w:p>
    <w:p w:rsidRPr="002A64BB" w:rsidR="00C202B8" w:rsidP="00DE060B" w:rsidRDefault="00C202B8" w14:paraId="1046E041" w14:textId="77777777">
      <w:pPr>
        <w:spacing w:line="276" w:lineRule="auto"/>
        <w:rPr>
          <w:rFonts w:cs="Arial"/>
          <w:lang w:val="fi-FI"/>
        </w:rPr>
      </w:pPr>
      <w:r w:rsidRPr="002A64BB">
        <w:rPr>
          <w:rFonts w:cs="Arial"/>
          <w:lang w:val="fi-FI"/>
        </w:rPr>
        <w:t>Saravanan Nagappan</w:t>
      </w:r>
    </w:p>
    <w:p w:rsidRPr="002A64BB" w:rsidR="00C202B8" w:rsidP="00DE060B" w:rsidRDefault="00C202B8" w14:paraId="0A15DC42" w14:textId="77777777">
      <w:pPr>
        <w:spacing w:line="276" w:lineRule="auto"/>
        <w:rPr>
          <w:rFonts w:cs="Arial"/>
          <w:lang w:val="fi-FI"/>
        </w:rPr>
      </w:pPr>
      <w:r w:rsidRPr="002A64BB">
        <w:rPr>
          <w:rFonts w:cs="Arial"/>
          <w:lang w:val="fi-FI"/>
        </w:rPr>
        <w:t>Jessica Pauley</w:t>
      </w:r>
    </w:p>
    <w:p w:rsidRPr="002A64BB" w:rsidR="00C202B8" w:rsidP="00DE060B" w:rsidRDefault="00C202B8" w14:paraId="03AF7DC3" w14:textId="77777777">
      <w:pPr>
        <w:spacing w:line="276" w:lineRule="auto"/>
        <w:rPr>
          <w:rFonts w:cs="Arial"/>
          <w:lang w:val="fi-FI"/>
        </w:rPr>
      </w:pPr>
      <w:r w:rsidRPr="002A64BB">
        <w:rPr>
          <w:rFonts w:cs="Arial"/>
          <w:lang w:val="fi-FI"/>
        </w:rPr>
        <w:t>Emma Whitehouse</w:t>
      </w:r>
    </w:p>
    <w:p w:rsidRPr="002A64BB" w:rsidR="00C202B8" w:rsidP="00DE060B" w:rsidRDefault="00C202B8" w14:paraId="7E7854A3" w14:textId="77777777">
      <w:pPr>
        <w:spacing w:line="276" w:lineRule="auto"/>
        <w:rPr>
          <w:rFonts w:cs="Arial"/>
          <w:lang w:val="fi-FI"/>
        </w:rPr>
      </w:pPr>
    </w:p>
    <w:p w:rsidRPr="00C202B8" w:rsidR="00C202B8" w:rsidP="00DE060B" w:rsidRDefault="00C202B8" w14:paraId="6953F742" w14:textId="0ABEAAC0">
      <w:pPr>
        <w:spacing w:line="276" w:lineRule="auto"/>
        <w:rPr>
          <w:rFonts w:cs="Arial"/>
          <w:b/>
          <w:bCs/>
        </w:rPr>
      </w:pPr>
      <w:r w:rsidRPr="00C202B8">
        <w:rPr>
          <w:rFonts w:cs="Arial"/>
          <w:b/>
          <w:bCs/>
        </w:rPr>
        <w:t>UBS Investment Bank</w:t>
      </w:r>
      <w:r w:rsidR="00EB3836">
        <w:rPr>
          <w:rFonts w:cs="Arial"/>
          <w:b/>
          <w:bCs/>
        </w:rPr>
        <w:t xml:space="preserve"> (Joint Bookrunner)</w:t>
      </w:r>
      <w:r w:rsidRPr="00C202B8">
        <w:rPr>
          <w:rFonts w:cs="Arial"/>
          <w:b/>
          <w:bCs/>
        </w:rPr>
        <w:t>:</w:t>
      </w:r>
      <w:r w:rsidRPr="00C202B8">
        <w:rPr>
          <w:rFonts w:cs="Arial"/>
          <w:b/>
          <w:bCs/>
        </w:rPr>
        <w:tab/>
      </w:r>
      <w:r w:rsidRPr="00C202B8">
        <w:rPr>
          <w:rFonts w:cs="Arial"/>
          <w:b/>
          <w:bCs/>
        </w:rPr>
        <w:tab/>
      </w:r>
      <w:r w:rsidRPr="00C202B8">
        <w:rPr>
          <w:rFonts w:cs="Arial"/>
          <w:b/>
          <w:bCs/>
        </w:rPr>
        <w:tab/>
      </w:r>
      <w:r w:rsidRPr="00C202B8">
        <w:rPr>
          <w:rFonts w:cs="Arial"/>
          <w:b/>
          <w:bCs/>
        </w:rPr>
        <w:tab/>
        <w:t>+44 (0) 20 7567 8000</w:t>
      </w:r>
    </w:p>
    <w:p w:rsidRPr="005973A7" w:rsidR="00C202B8" w:rsidP="00DE060B" w:rsidRDefault="00C202B8" w14:paraId="55419D88" w14:textId="77777777">
      <w:pPr>
        <w:spacing w:line="276" w:lineRule="auto"/>
        <w:rPr>
          <w:rFonts w:cs="Arial"/>
        </w:rPr>
      </w:pPr>
      <w:r>
        <w:rPr>
          <w:rFonts w:cs="Arial"/>
        </w:rPr>
        <w:t>Fergus Horrobin</w:t>
      </w:r>
    </w:p>
    <w:p w:rsidR="00C202B8" w:rsidP="00DE060B" w:rsidRDefault="00C202B8" w14:paraId="51453C3A" w14:textId="77777777">
      <w:pPr>
        <w:spacing w:line="276" w:lineRule="auto"/>
        <w:rPr>
          <w:rFonts w:cs="Arial"/>
        </w:rPr>
      </w:pPr>
      <w:r>
        <w:rPr>
          <w:rFonts w:cs="Arial"/>
        </w:rPr>
        <w:t>Jonathan Retter</w:t>
      </w:r>
    </w:p>
    <w:p w:rsidR="00C202B8" w:rsidP="00DE060B" w:rsidRDefault="00C202B8" w14:paraId="68246465" w14:textId="77777777">
      <w:pPr>
        <w:spacing w:line="276" w:lineRule="auto"/>
        <w:rPr>
          <w:rFonts w:cs="Arial"/>
        </w:rPr>
      </w:pPr>
      <w:r>
        <w:rPr>
          <w:rFonts w:cs="Arial"/>
        </w:rPr>
        <w:t>Aadhar Patel</w:t>
      </w:r>
    </w:p>
    <w:p w:rsidRPr="005973A7" w:rsidR="00C202B8" w:rsidP="00DE060B" w:rsidRDefault="00C202B8" w14:paraId="572C6309" w14:textId="77777777">
      <w:pPr>
        <w:spacing w:line="276" w:lineRule="auto"/>
        <w:rPr>
          <w:rFonts w:cs="Arial"/>
        </w:rPr>
      </w:pPr>
      <w:r>
        <w:rPr>
          <w:rFonts w:cs="Arial"/>
        </w:rPr>
        <w:t>George Dracup</w:t>
      </w:r>
    </w:p>
    <w:p w:rsidRPr="005973A7" w:rsidR="00C202B8" w:rsidP="00DE060B" w:rsidRDefault="00C202B8" w14:paraId="5CE04322" w14:textId="77777777">
      <w:pPr>
        <w:spacing w:line="276" w:lineRule="auto"/>
        <w:rPr>
          <w:rFonts w:cs="Arial"/>
        </w:rPr>
      </w:pPr>
      <w:r w:rsidRPr="005973A7">
        <w:rPr>
          <w:rFonts w:cs="Arial"/>
        </w:rPr>
        <w:t>Alex Bloch</w:t>
      </w:r>
    </w:p>
    <w:p w:rsidR="00C202B8" w:rsidP="00DE060B" w:rsidRDefault="00C202B8" w14:paraId="567C118D" w14:textId="77777777">
      <w:pPr>
        <w:spacing w:line="276" w:lineRule="auto"/>
        <w:rPr>
          <w:rFonts w:cs="Arial"/>
          <w:b/>
          <w:lang w:val="en-US"/>
        </w:rPr>
      </w:pPr>
    </w:p>
    <w:p w:rsidRPr="004B0BDE" w:rsidR="00583219" w:rsidP="00F8561C" w:rsidRDefault="003D7277" w14:paraId="2B4231E1" w14:textId="56108AF4">
      <w:pPr>
        <w:keepNext/>
        <w:spacing w:line="276" w:lineRule="auto"/>
        <w:rPr>
          <w:rFonts w:cs="Arial"/>
          <w:b/>
        </w:rPr>
      </w:pPr>
      <w:r w:rsidRPr="004B0BDE">
        <w:rPr>
          <w:rFonts w:cs="Arial"/>
          <w:b/>
        </w:rPr>
        <w:t xml:space="preserve">Media </w:t>
      </w:r>
      <w:r w:rsidR="00C202B8">
        <w:rPr>
          <w:rFonts w:cs="Arial"/>
          <w:b/>
        </w:rPr>
        <w:t>E</w:t>
      </w:r>
      <w:r w:rsidRPr="004B0BDE">
        <w:rPr>
          <w:rFonts w:cs="Arial"/>
          <w:b/>
        </w:rPr>
        <w:t xml:space="preserve">nquiries: </w:t>
      </w:r>
    </w:p>
    <w:p w:rsidRPr="004B0BDE" w:rsidR="00583219" w:rsidP="00DE060B" w:rsidRDefault="009251B5" w14:paraId="2580475A" w14:textId="53AFA07C">
      <w:pPr>
        <w:spacing w:line="276" w:lineRule="auto"/>
        <w:rPr>
          <w:rFonts w:cs="Arial"/>
          <w:lang w:val="fr-FR"/>
        </w:rPr>
      </w:pPr>
      <w:r w:rsidRPr="004B0BDE">
        <w:rPr>
          <w:rFonts w:cs="Arial"/>
          <w:lang w:val="en-US"/>
        </w:rPr>
        <w:t>Gary Gaskarth</w:t>
      </w:r>
      <w:r w:rsidRPr="004B0BDE" w:rsidR="003D7277">
        <w:rPr>
          <w:rFonts w:cs="Arial"/>
          <w:lang w:val="fr-FR"/>
        </w:rPr>
        <w:t>, External Communications Manager</w:t>
      </w:r>
      <w:r w:rsidR="00C202B8">
        <w:rPr>
          <w:rFonts w:cs="Arial"/>
          <w:lang w:val="fr-FR"/>
        </w:rPr>
        <w:tab/>
      </w:r>
      <w:r w:rsidRPr="004B0BDE" w:rsidR="003D7277">
        <w:rPr>
          <w:rFonts w:cs="Arial"/>
          <w:lang w:val="fr-FR"/>
        </w:rPr>
        <w:tab/>
      </w:r>
      <w:r w:rsidRPr="004B0BDE" w:rsidR="005776B9">
        <w:rPr>
          <w:rFonts w:cs="Arial"/>
          <w:lang w:val="fr-FR"/>
        </w:rPr>
        <w:tab/>
      </w:r>
      <w:r w:rsidRPr="004B0BDE" w:rsidR="003D7277">
        <w:rPr>
          <w:rFonts w:cs="Arial"/>
          <w:lang w:val="fr-FR"/>
        </w:rPr>
        <w:t xml:space="preserve">+44 (0) 20 7451 </w:t>
      </w:r>
      <w:r w:rsidRPr="004B0BDE" w:rsidR="005776B9">
        <w:rPr>
          <w:rFonts w:cs="Arial"/>
          <w:lang w:val="fr-FR"/>
        </w:rPr>
        <w:t>9069</w:t>
      </w:r>
    </w:p>
    <w:p w:rsidRPr="004B0BDE" w:rsidR="00583219" w:rsidP="00DE060B" w:rsidRDefault="003D7277" w14:paraId="453E0D87" w14:textId="13AC99D4">
      <w:pPr>
        <w:spacing w:line="276" w:lineRule="auto"/>
        <w:rPr>
          <w:rFonts w:cs="Arial"/>
          <w:lang w:val="en-US"/>
        </w:rPr>
      </w:pPr>
      <w:r w:rsidRPr="004B0BDE">
        <w:rPr>
          <w:rFonts w:cs="Arial"/>
          <w:lang w:val="en-US"/>
        </w:rPr>
        <w:t>Richard Sunderland, FTI Consulting</w:t>
      </w:r>
      <w:r w:rsidRPr="004B0BDE">
        <w:rPr>
          <w:rFonts w:cs="Arial"/>
          <w:lang w:val="en-US"/>
        </w:rPr>
        <w:tab/>
      </w:r>
      <w:r w:rsidRPr="004B0BDE">
        <w:rPr>
          <w:rFonts w:cs="Arial"/>
          <w:lang w:val="en-US"/>
        </w:rPr>
        <w:tab/>
      </w:r>
      <w:r w:rsidR="00C202B8">
        <w:rPr>
          <w:rFonts w:cs="Arial"/>
          <w:lang w:val="en-US"/>
        </w:rPr>
        <w:tab/>
      </w:r>
      <w:r w:rsidRPr="004B0BDE">
        <w:rPr>
          <w:rFonts w:cs="Arial"/>
          <w:lang w:val="en-US"/>
        </w:rPr>
        <w:tab/>
      </w:r>
      <w:r w:rsidRPr="004B0BDE">
        <w:rPr>
          <w:rFonts w:cs="Arial"/>
          <w:lang w:val="en-US"/>
        </w:rPr>
        <w:tab/>
        <w:t xml:space="preserve">+44 (0) 20 3727 </w:t>
      </w:r>
      <w:proofErr w:type="gramStart"/>
      <w:r w:rsidRPr="004B0BDE">
        <w:rPr>
          <w:rFonts w:cs="Arial"/>
          <w:lang w:val="en-US"/>
        </w:rPr>
        <w:t>1000</w:t>
      </w:r>
      <w:proofErr w:type="gramEnd"/>
    </w:p>
    <w:p w:rsidRPr="00E10D5C" w:rsidR="00583219" w:rsidP="00DE060B" w:rsidRDefault="005776B9" w14:paraId="412595A2" w14:textId="5F961941">
      <w:pPr>
        <w:spacing w:after="240" w:line="276" w:lineRule="auto"/>
        <w:rPr>
          <w:rStyle w:val="Strong"/>
          <w:rFonts w:cs="Arial"/>
          <w:b w:val="0"/>
          <w:bCs w:val="0"/>
          <w:lang w:val="en-US"/>
        </w:rPr>
      </w:pPr>
      <w:r w:rsidRPr="004B0BDE">
        <w:rPr>
          <w:rFonts w:cs="Arial"/>
          <w:lang w:val="en-US"/>
        </w:rPr>
        <w:lastRenderedPageBreak/>
        <w:t>Eve Kirmatzis</w:t>
      </w:r>
      <w:r w:rsidRPr="004B0BDE" w:rsidR="003D7277">
        <w:rPr>
          <w:rFonts w:cs="Arial"/>
          <w:lang w:val="en-US"/>
        </w:rPr>
        <w:t>, FTI Consulting</w:t>
      </w:r>
      <w:r w:rsidRPr="004B0BDE" w:rsidR="003D7277">
        <w:rPr>
          <w:rFonts w:cs="Arial"/>
          <w:lang w:val="en-US"/>
        </w:rPr>
        <w:tab/>
      </w:r>
      <w:r w:rsidRPr="004B0BDE" w:rsidR="003D7277">
        <w:rPr>
          <w:rFonts w:cs="Arial"/>
          <w:lang w:val="en-US"/>
        </w:rPr>
        <w:tab/>
      </w:r>
      <w:r w:rsidRPr="004B0BDE" w:rsidR="003D7277">
        <w:rPr>
          <w:rFonts w:cs="Arial"/>
          <w:lang w:val="en-US"/>
        </w:rPr>
        <w:tab/>
      </w:r>
      <w:r w:rsidR="00C202B8">
        <w:rPr>
          <w:rFonts w:cs="Arial"/>
          <w:lang w:val="en-US"/>
        </w:rPr>
        <w:tab/>
      </w:r>
      <w:r w:rsidRPr="004B0BDE" w:rsidR="003D7277">
        <w:rPr>
          <w:rFonts w:cs="Arial"/>
          <w:lang w:val="en-US"/>
        </w:rPr>
        <w:tab/>
      </w:r>
      <w:r w:rsidR="004B0BDE">
        <w:rPr>
          <w:rFonts w:cs="Arial"/>
          <w:lang w:val="en-US"/>
        </w:rPr>
        <w:tab/>
      </w:r>
      <w:r w:rsidRPr="004B0BDE" w:rsidR="003D7277">
        <w:rPr>
          <w:rFonts w:cs="Arial"/>
          <w:lang w:val="en-US"/>
        </w:rPr>
        <w:t xml:space="preserve">+44 (0) 20 3727 </w:t>
      </w:r>
      <w:proofErr w:type="gramStart"/>
      <w:r w:rsidRPr="004B0BDE" w:rsidR="003D7277">
        <w:rPr>
          <w:rFonts w:cs="Arial"/>
          <w:lang w:val="en-US"/>
        </w:rPr>
        <w:t>1000</w:t>
      </w:r>
      <w:proofErr w:type="gramEnd"/>
    </w:p>
    <w:p w:rsidRPr="004B0BDE" w:rsidR="005679C5" w:rsidP="00DE060B" w:rsidRDefault="005679C5" w14:paraId="59EA4549" w14:textId="4A0CD8DC">
      <w:pPr>
        <w:spacing w:line="276" w:lineRule="auto"/>
        <w:jc w:val="left"/>
        <w:rPr>
          <w:rStyle w:val="Strong"/>
          <w:rFonts w:cs="Arial"/>
          <w:shd w:val="clear" w:color="auto" w:fill="FFFFFF"/>
        </w:rPr>
      </w:pPr>
    </w:p>
    <w:p w:rsidR="007D6070" w:rsidP="007D6070" w:rsidRDefault="007D6070" w14:paraId="429B51F1" w14:textId="5434FDFB">
      <w:pPr>
        <w:spacing w:line="276" w:lineRule="auto"/>
        <w:jc w:val="center"/>
        <w:rPr>
          <w:rStyle w:val="Strong"/>
          <w:rFonts w:cs="Arial"/>
          <w:shd w:val="clear" w:color="auto" w:fill="FFFFFF"/>
        </w:rPr>
      </w:pPr>
    </w:p>
    <w:p w:rsidR="007D6070" w:rsidP="008D3DAD" w:rsidRDefault="007D6070" w14:paraId="10007468" w14:textId="032142AD">
      <w:pPr>
        <w:keepNext/>
        <w:spacing w:line="276" w:lineRule="auto"/>
        <w:jc w:val="center"/>
        <w:rPr>
          <w:rStyle w:val="Strong"/>
          <w:rFonts w:cs="Arial"/>
          <w:shd w:val="clear" w:color="auto" w:fill="FFFFFF"/>
        </w:rPr>
      </w:pPr>
      <w:r>
        <w:rPr>
          <w:rStyle w:val="Strong"/>
          <w:rFonts w:cs="Arial"/>
          <w:shd w:val="clear" w:color="auto" w:fill="FFFFFF"/>
        </w:rPr>
        <w:t>Pre-Emption Group Reporting</w:t>
      </w:r>
    </w:p>
    <w:p w:rsidR="007D6070" w:rsidP="008D3DAD" w:rsidRDefault="007D6070" w14:paraId="2E078665" w14:textId="71BB9639">
      <w:pPr>
        <w:keepNext/>
        <w:spacing w:line="276" w:lineRule="auto"/>
        <w:jc w:val="center"/>
        <w:rPr>
          <w:rStyle w:val="Strong"/>
          <w:rFonts w:cs="Arial"/>
          <w:shd w:val="clear" w:color="auto" w:fill="FFFFFF"/>
        </w:rPr>
      </w:pPr>
    </w:p>
    <w:p w:rsidRPr="00252361" w:rsidR="007D6070" w:rsidP="008D3DAD" w:rsidRDefault="007D6070" w14:paraId="447F0F21" w14:textId="206D7196">
      <w:pPr>
        <w:keepNext/>
        <w:spacing w:line="276" w:lineRule="auto"/>
        <w:rPr>
          <w:rStyle w:val="Strong"/>
          <w:rFonts w:cs="Arial"/>
          <w:i/>
          <w:iCs/>
          <w:shd w:val="clear" w:color="auto" w:fill="FFFFFF"/>
        </w:rPr>
      </w:pPr>
      <w:r>
        <w:rPr>
          <w:rStyle w:val="Strong"/>
          <w:rFonts w:cs="Arial"/>
          <w:b w:val="0"/>
          <w:bCs w:val="0"/>
          <w:shd w:val="clear" w:color="auto" w:fill="FFFFFF"/>
        </w:rPr>
        <w:t xml:space="preserve">The Placing is a non-pre-emptive issue of equity securities for cash and accordingly the Company makes the following post-transaction report in accordance with the most recently published Pre-Emption Group Statement of Principles (2022). </w:t>
      </w:r>
    </w:p>
    <w:p w:rsidR="007D6070" w:rsidP="008D3DAD" w:rsidRDefault="007D6070" w14:paraId="1D519FA9" w14:textId="5F66CEF7">
      <w:pPr>
        <w:keepNext/>
        <w:spacing w:line="276" w:lineRule="auto"/>
        <w:rPr>
          <w:rStyle w:val="Strong"/>
          <w:rFonts w:cs="Arial"/>
          <w:b w:val="0"/>
          <w:bCs w:val="0"/>
          <w:shd w:val="clear" w:color="auto" w:fill="FFFFFF"/>
        </w:rPr>
      </w:pPr>
    </w:p>
    <w:tbl>
      <w:tblPr>
        <w:tblStyle w:val="TableGrid"/>
        <w:tblW w:w="0" w:type="auto"/>
        <w:jc w:val="center"/>
        <w:tblLook w:val="04A0" w:firstRow="1" w:lastRow="0" w:firstColumn="1" w:lastColumn="0" w:noHBand="0" w:noVBand="1"/>
      </w:tblPr>
      <w:tblGrid>
        <w:gridCol w:w="2268"/>
        <w:gridCol w:w="5524"/>
      </w:tblGrid>
      <w:tr w:rsidR="007D6070" w:rsidTr="00CB3047" w14:paraId="0B4992EE" w14:textId="77777777">
        <w:trPr>
          <w:jc w:val="center"/>
        </w:trPr>
        <w:tc>
          <w:tcPr>
            <w:tcW w:w="2268" w:type="dxa"/>
          </w:tcPr>
          <w:p w:rsidRPr="00DA7477" w:rsidR="007D6070" w:rsidP="008D3DAD" w:rsidRDefault="007D6070" w14:paraId="597C710B" w14:textId="1A995C36">
            <w:pPr>
              <w:keepNext/>
              <w:spacing w:line="276" w:lineRule="auto"/>
              <w:rPr>
                <w:rStyle w:val="Strong"/>
                <w:rFonts w:cs="Arial"/>
                <w:shd w:val="clear" w:color="auto" w:fill="FFFFFF"/>
              </w:rPr>
            </w:pPr>
            <w:r w:rsidRPr="00DA7477">
              <w:rPr>
                <w:rStyle w:val="Strong"/>
                <w:rFonts w:cs="Arial"/>
                <w:shd w:val="clear" w:color="auto" w:fill="FFFFFF"/>
              </w:rPr>
              <w:t>Name of issuer</w:t>
            </w:r>
          </w:p>
        </w:tc>
        <w:tc>
          <w:tcPr>
            <w:tcW w:w="5524" w:type="dxa"/>
          </w:tcPr>
          <w:p w:rsidRPr="00DA7477" w:rsidR="007D6070" w:rsidP="008D3DAD" w:rsidRDefault="00DA7477" w14:paraId="1609A69D" w14:textId="69123C03">
            <w:pPr>
              <w:keepNext/>
              <w:spacing w:line="276" w:lineRule="auto"/>
              <w:rPr>
                <w:rStyle w:val="Strong"/>
                <w:rFonts w:cs="Arial"/>
                <w:b w:val="0"/>
                <w:bCs w:val="0"/>
                <w:shd w:val="clear" w:color="auto" w:fill="FFFFFF"/>
              </w:rPr>
            </w:pPr>
            <w:r w:rsidRPr="00DA7477">
              <w:rPr>
                <w:rStyle w:val="Strong"/>
                <w:rFonts w:cs="Arial"/>
                <w:b w:val="0"/>
                <w:bCs w:val="0"/>
                <w:shd w:val="clear" w:color="auto" w:fill="FFFFFF"/>
              </w:rPr>
              <w:t>SEGRO plc</w:t>
            </w:r>
          </w:p>
        </w:tc>
      </w:tr>
      <w:tr w:rsidR="007D6070" w:rsidTr="00CB3047" w14:paraId="73ABCA57" w14:textId="77777777">
        <w:trPr>
          <w:jc w:val="center"/>
        </w:trPr>
        <w:tc>
          <w:tcPr>
            <w:tcW w:w="2268" w:type="dxa"/>
          </w:tcPr>
          <w:p w:rsidRPr="00DA7477" w:rsidR="007D6070" w:rsidP="007D6070" w:rsidRDefault="00DA7477" w14:paraId="2096694A" w14:textId="01FE160A">
            <w:pPr>
              <w:spacing w:line="276" w:lineRule="auto"/>
              <w:rPr>
                <w:rStyle w:val="Strong"/>
                <w:rFonts w:cs="Arial"/>
                <w:shd w:val="clear" w:color="auto" w:fill="FFFFFF"/>
              </w:rPr>
            </w:pPr>
            <w:r w:rsidRPr="00DA7477">
              <w:rPr>
                <w:rStyle w:val="Strong"/>
                <w:rFonts w:cs="Arial"/>
                <w:shd w:val="clear" w:color="auto" w:fill="FFFFFF"/>
              </w:rPr>
              <w:t>Transaction details</w:t>
            </w:r>
          </w:p>
        </w:tc>
        <w:tc>
          <w:tcPr>
            <w:tcW w:w="5524" w:type="dxa"/>
          </w:tcPr>
          <w:p w:rsidRPr="00252361" w:rsidR="007D6070" w:rsidP="007D6070" w:rsidRDefault="00DA7477" w14:paraId="1D93B701" w14:textId="62F26D40">
            <w:pPr>
              <w:spacing w:line="276" w:lineRule="auto"/>
              <w:rPr>
                <w:rStyle w:val="Strong"/>
                <w:rFonts w:cs="Arial"/>
                <w:b w:val="0"/>
                <w:bCs w:val="0"/>
                <w:shd w:val="clear" w:color="auto" w:fill="FFFFFF"/>
              </w:rPr>
            </w:pPr>
            <w:r w:rsidRPr="00252361">
              <w:rPr>
                <w:rStyle w:val="Strong"/>
                <w:rFonts w:cs="Arial"/>
                <w:b w:val="0"/>
                <w:bCs w:val="0"/>
                <w:shd w:val="clear" w:color="auto" w:fill="FFFFFF"/>
              </w:rPr>
              <w:t xml:space="preserve">In aggregate, the Placing and Retail Offer of </w:t>
            </w:r>
            <w:r w:rsidRPr="00793546" w:rsidR="00793546">
              <w:rPr>
                <w:rStyle w:val="Strong"/>
                <w:rFonts w:cs="Arial"/>
                <w:b w:val="0"/>
                <w:bCs w:val="0"/>
                <w:shd w:val="clear" w:color="auto" w:fill="FFFFFF"/>
              </w:rPr>
              <w:t>1</w:t>
            </w:r>
            <w:r w:rsidRPr="00793546" w:rsidR="00793546">
              <w:rPr>
                <w:rStyle w:val="Strong"/>
                <w:b w:val="0"/>
                <w:bCs w:val="0"/>
                <w:shd w:val="clear" w:color="auto" w:fill="FFFFFF"/>
              </w:rPr>
              <w:t>10,585,366</w:t>
            </w:r>
            <w:r w:rsidRPr="00252361" w:rsidR="00ED3F5B">
              <w:rPr>
                <w:rFonts w:cs="Arial"/>
                <w:lang w:val="en-US"/>
              </w:rPr>
              <w:t xml:space="preserve"> </w:t>
            </w:r>
            <w:r w:rsidRPr="00252361">
              <w:rPr>
                <w:rStyle w:val="Strong"/>
                <w:rFonts w:cs="Arial"/>
                <w:b w:val="0"/>
                <w:bCs w:val="0"/>
                <w:shd w:val="clear" w:color="auto" w:fill="FFFFFF"/>
              </w:rPr>
              <w:t xml:space="preserve">ordinary shares represents approximately </w:t>
            </w:r>
            <w:r w:rsidR="00793546">
              <w:rPr>
                <w:rStyle w:val="Strong"/>
                <w:rFonts w:cs="Arial"/>
                <w:b w:val="0"/>
                <w:bCs w:val="0"/>
                <w:shd w:val="clear" w:color="auto" w:fill="FFFFFF"/>
              </w:rPr>
              <w:t>9</w:t>
            </w:r>
            <w:r w:rsidR="00BF28AD">
              <w:rPr>
                <w:rStyle w:val="Strong"/>
                <w:rFonts w:cs="Arial"/>
                <w:b w:val="0"/>
                <w:bCs w:val="0"/>
                <w:shd w:val="clear" w:color="auto" w:fill="FFFFFF"/>
              </w:rPr>
              <w:t>.</w:t>
            </w:r>
            <w:r w:rsidR="00BF28AD">
              <w:rPr>
                <w:rStyle w:val="Strong"/>
                <w:shd w:val="clear" w:color="auto" w:fill="FFFFFF"/>
              </w:rPr>
              <w:t>0</w:t>
            </w:r>
            <w:r w:rsidRPr="00252361">
              <w:rPr>
                <w:rStyle w:val="Strong"/>
                <w:rFonts w:cs="Arial"/>
                <w:b w:val="0"/>
                <w:bCs w:val="0"/>
                <w:shd w:val="clear" w:color="auto" w:fill="FFFFFF"/>
              </w:rPr>
              <w:t>% of the Company’s issued ordinary share capital.</w:t>
            </w:r>
          </w:p>
          <w:p w:rsidR="00DA7477" w:rsidP="007D6070" w:rsidRDefault="00DA7477" w14:paraId="1FBAF7FD" w14:textId="77777777">
            <w:pPr>
              <w:spacing w:line="276" w:lineRule="auto"/>
              <w:rPr>
                <w:rStyle w:val="Strong"/>
                <w:rFonts w:cs="Arial"/>
                <w:shd w:val="clear" w:color="auto" w:fill="FFFFFF"/>
              </w:rPr>
            </w:pPr>
          </w:p>
          <w:p w:rsidRPr="00DA7477" w:rsidR="00DA7477" w:rsidP="007D6070" w:rsidRDefault="00DA7477" w14:paraId="4551F188" w14:textId="24B0BD25">
            <w:pPr>
              <w:spacing w:line="276" w:lineRule="auto"/>
              <w:rPr>
                <w:rStyle w:val="Strong"/>
                <w:rFonts w:cs="Arial"/>
                <w:b w:val="0"/>
                <w:bCs w:val="0"/>
                <w:shd w:val="clear" w:color="auto" w:fill="FFFFFF"/>
              </w:rPr>
            </w:pPr>
            <w:r>
              <w:rPr>
                <w:rStyle w:val="Strong"/>
                <w:rFonts w:cs="Arial"/>
                <w:b w:val="0"/>
                <w:bCs w:val="0"/>
                <w:shd w:val="clear" w:color="auto" w:fill="FFFFFF"/>
              </w:rPr>
              <w:t xml:space="preserve">Settlement for the Placing Shares and Retail Offer Shares are expected to take place on or before 8.00 a.m. (London time) / 9.00 a.m. (Paris time) on </w:t>
            </w:r>
            <w:r w:rsidR="00775D8A">
              <w:rPr>
                <w:rFonts w:cs="Arial"/>
                <w:lang w:val="en-US"/>
              </w:rPr>
              <w:t>1</w:t>
            </w:r>
            <w:r>
              <w:rPr>
                <w:rFonts w:cs="Arial"/>
                <w:lang w:val="en-US"/>
              </w:rPr>
              <w:t xml:space="preserve"> </w:t>
            </w:r>
            <w:r w:rsidR="00775D8A">
              <w:rPr>
                <w:rFonts w:cs="Arial"/>
                <w:lang w:val="en-US"/>
              </w:rPr>
              <w:t>March</w:t>
            </w:r>
            <w:r>
              <w:rPr>
                <w:rStyle w:val="Strong"/>
                <w:rFonts w:cs="Arial"/>
                <w:b w:val="0"/>
                <w:bCs w:val="0"/>
                <w:shd w:val="clear" w:color="auto" w:fill="FFFFFF"/>
              </w:rPr>
              <w:t xml:space="preserve"> 2024. </w:t>
            </w:r>
          </w:p>
        </w:tc>
      </w:tr>
      <w:tr w:rsidR="007D6070" w:rsidTr="00CB3047" w14:paraId="2944E240" w14:textId="77777777">
        <w:trPr>
          <w:jc w:val="center"/>
        </w:trPr>
        <w:tc>
          <w:tcPr>
            <w:tcW w:w="2268" w:type="dxa"/>
          </w:tcPr>
          <w:p w:rsidRPr="00DA7477" w:rsidR="007D6070" w:rsidP="007D6070" w:rsidRDefault="00DA7477" w14:paraId="207E66F1" w14:textId="1FDDA201">
            <w:pPr>
              <w:spacing w:line="276" w:lineRule="auto"/>
              <w:rPr>
                <w:rStyle w:val="Strong"/>
                <w:rFonts w:cs="Arial"/>
                <w:shd w:val="clear" w:color="auto" w:fill="FFFFFF"/>
              </w:rPr>
            </w:pPr>
            <w:r w:rsidRPr="00DA7477">
              <w:rPr>
                <w:rStyle w:val="Strong"/>
                <w:rFonts w:cs="Arial"/>
                <w:shd w:val="clear" w:color="auto" w:fill="FFFFFF"/>
              </w:rPr>
              <w:t>Use of proceeds</w:t>
            </w:r>
          </w:p>
        </w:tc>
        <w:tc>
          <w:tcPr>
            <w:tcW w:w="5524" w:type="dxa"/>
          </w:tcPr>
          <w:p w:rsidRPr="00DA7477" w:rsidR="007D6070" w:rsidP="009F3D33" w:rsidRDefault="00DA7477" w14:paraId="2C3FDE6E" w14:textId="13249017">
            <w:pPr>
              <w:spacing w:line="276" w:lineRule="auto"/>
              <w:rPr>
                <w:rStyle w:val="Strong"/>
                <w:rFonts w:cs="Arial"/>
                <w:b w:val="0"/>
                <w:bCs w:val="0"/>
                <w:shd w:val="clear" w:color="auto" w:fill="FFFFFF"/>
              </w:rPr>
            </w:pPr>
            <w:r>
              <w:rPr>
                <w:rStyle w:val="Strong"/>
                <w:rFonts w:cs="Arial"/>
                <w:b w:val="0"/>
                <w:bCs w:val="0"/>
                <w:shd w:val="clear" w:color="auto" w:fill="FFFFFF"/>
              </w:rPr>
              <w:t xml:space="preserve">The </w:t>
            </w:r>
            <w:r w:rsidR="000960A3">
              <w:rPr>
                <w:rStyle w:val="Strong"/>
                <w:rFonts w:cs="Arial"/>
                <w:b w:val="0"/>
                <w:bCs w:val="0"/>
                <w:shd w:val="clear" w:color="auto" w:fill="FFFFFF"/>
              </w:rPr>
              <w:t xml:space="preserve">proceeds of the </w:t>
            </w:r>
            <w:r>
              <w:rPr>
                <w:rStyle w:val="Strong"/>
                <w:rFonts w:cs="Arial"/>
                <w:b w:val="0"/>
                <w:bCs w:val="0"/>
                <w:shd w:val="clear" w:color="auto" w:fill="FFFFFF"/>
              </w:rPr>
              <w:t>Placing and Retail Offer of approximately £</w:t>
            </w:r>
            <w:r w:rsidR="00793546">
              <w:rPr>
                <w:rStyle w:val="Strong"/>
                <w:rFonts w:cs="Arial"/>
                <w:b w:val="0"/>
                <w:bCs w:val="0"/>
                <w:shd w:val="clear" w:color="auto" w:fill="FFFFFF"/>
              </w:rPr>
              <w:t>9</w:t>
            </w:r>
            <w:r w:rsidRPr="00DA69EC" w:rsidR="00793546">
              <w:rPr>
                <w:rStyle w:val="Strong"/>
                <w:b w:val="0"/>
                <w:bCs w:val="0"/>
                <w:shd w:val="clear" w:color="auto" w:fill="FFFFFF"/>
              </w:rPr>
              <w:t>07</w:t>
            </w:r>
            <w:r w:rsidRPr="00390267" w:rsidR="00ED3F5B">
              <w:rPr>
                <w:rFonts w:cs="Arial"/>
                <w:lang w:val="en-US"/>
              </w:rPr>
              <w:t xml:space="preserve"> </w:t>
            </w:r>
            <w:r w:rsidR="005C05E6">
              <w:rPr>
                <w:lang w:val="en-US"/>
              </w:rPr>
              <w:t>million</w:t>
            </w:r>
            <w:r>
              <w:rPr>
                <w:rFonts w:cs="Arial"/>
                <w:lang w:val="en-US"/>
              </w:rPr>
              <w:t xml:space="preserve"> </w:t>
            </w:r>
            <w:r>
              <w:rPr>
                <w:lang w:val="en-US"/>
              </w:rPr>
              <w:t xml:space="preserve">in aggregate will </w:t>
            </w:r>
            <w:r w:rsidR="00940135">
              <w:rPr>
                <w:lang w:val="en-US"/>
              </w:rPr>
              <w:t>allow the SEGRO group to pursue</w:t>
            </w:r>
            <w:r w:rsidRPr="009F3D33" w:rsidR="009F3D33">
              <w:rPr>
                <w:lang w:val="en-US"/>
              </w:rPr>
              <w:t xml:space="preserve"> additional growth opportunities, including new and existing development projects and to take advantage of potential acquisition opportunities which may arise, whilst maintaining a strong balance sheet.</w:t>
            </w:r>
          </w:p>
        </w:tc>
      </w:tr>
      <w:tr w:rsidR="007D6070" w:rsidTr="00CB3047" w14:paraId="4A8E7976" w14:textId="77777777">
        <w:trPr>
          <w:jc w:val="center"/>
        </w:trPr>
        <w:tc>
          <w:tcPr>
            <w:tcW w:w="2268" w:type="dxa"/>
          </w:tcPr>
          <w:p w:rsidRPr="00DA7477" w:rsidR="007D6070" w:rsidP="007D6070" w:rsidRDefault="00DA7477" w14:paraId="52A8853E" w14:textId="1633ABD8">
            <w:pPr>
              <w:spacing w:line="276" w:lineRule="auto"/>
              <w:rPr>
                <w:rStyle w:val="Strong"/>
                <w:rFonts w:cs="Arial"/>
                <w:shd w:val="clear" w:color="auto" w:fill="FFFFFF"/>
              </w:rPr>
            </w:pPr>
            <w:r w:rsidRPr="00DA7477">
              <w:rPr>
                <w:rStyle w:val="Strong"/>
                <w:rFonts w:cs="Arial"/>
                <w:shd w:val="clear" w:color="auto" w:fill="FFFFFF"/>
              </w:rPr>
              <w:t>Quantum of proceeds</w:t>
            </w:r>
          </w:p>
        </w:tc>
        <w:tc>
          <w:tcPr>
            <w:tcW w:w="5524" w:type="dxa"/>
          </w:tcPr>
          <w:p w:rsidRPr="00DA7477" w:rsidR="007D6070" w:rsidP="007D6070" w:rsidRDefault="00DA7477" w14:paraId="260C8D1E" w14:textId="17C8A892">
            <w:pPr>
              <w:spacing w:line="276" w:lineRule="auto"/>
              <w:rPr>
                <w:rStyle w:val="Strong"/>
                <w:rFonts w:cs="Arial"/>
                <w:b w:val="0"/>
                <w:bCs w:val="0"/>
                <w:shd w:val="clear" w:color="auto" w:fill="FFFFFF"/>
              </w:rPr>
            </w:pPr>
            <w:r>
              <w:rPr>
                <w:rStyle w:val="Strong"/>
                <w:rFonts w:cs="Arial"/>
                <w:b w:val="0"/>
                <w:bCs w:val="0"/>
                <w:shd w:val="clear" w:color="auto" w:fill="FFFFFF"/>
              </w:rPr>
              <w:t xml:space="preserve">In aggregate, the Placing </w:t>
            </w:r>
            <w:r w:rsidR="004E4A24">
              <w:rPr>
                <w:rStyle w:val="Strong"/>
                <w:rFonts w:cs="Arial"/>
                <w:b w:val="0"/>
                <w:bCs w:val="0"/>
                <w:shd w:val="clear" w:color="auto" w:fill="FFFFFF"/>
              </w:rPr>
              <w:t xml:space="preserve">and Retail Offer </w:t>
            </w:r>
            <w:r>
              <w:rPr>
                <w:rStyle w:val="Strong"/>
                <w:rFonts w:cs="Arial"/>
                <w:b w:val="0"/>
                <w:bCs w:val="0"/>
                <w:shd w:val="clear" w:color="auto" w:fill="FFFFFF"/>
              </w:rPr>
              <w:t>will raise gross proceeds of approximately £</w:t>
            </w:r>
            <w:r w:rsidRPr="00793546" w:rsidR="00793546">
              <w:rPr>
                <w:rStyle w:val="Strong"/>
                <w:rFonts w:cs="Arial"/>
                <w:b w:val="0"/>
                <w:bCs w:val="0"/>
                <w:shd w:val="clear" w:color="auto" w:fill="FFFFFF"/>
              </w:rPr>
              <w:t>9</w:t>
            </w:r>
            <w:r w:rsidRPr="00793546" w:rsidR="00793546">
              <w:rPr>
                <w:rStyle w:val="Strong"/>
                <w:b w:val="0"/>
                <w:bCs w:val="0"/>
                <w:shd w:val="clear" w:color="auto" w:fill="FFFFFF"/>
              </w:rPr>
              <w:t>07</w:t>
            </w:r>
            <w:r w:rsidRPr="00390267" w:rsidR="00ED3F5B">
              <w:rPr>
                <w:rFonts w:cs="Arial"/>
                <w:lang w:val="en-US"/>
              </w:rPr>
              <w:t xml:space="preserve"> </w:t>
            </w:r>
            <w:r w:rsidR="005C05E6">
              <w:rPr>
                <w:rFonts w:cs="Arial"/>
                <w:lang w:val="en-US"/>
              </w:rPr>
              <w:t>m</w:t>
            </w:r>
            <w:r w:rsidR="005C05E6">
              <w:rPr>
                <w:lang w:val="en-US"/>
              </w:rPr>
              <w:t xml:space="preserve">illion </w:t>
            </w:r>
            <w:r>
              <w:rPr>
                <w:rFonts w:cs="Arial"/>
                <w:lang w:val="en-US"/>
              </w:rPr>
              <w:t>and net proceeds of approximately £</w:t>
            </w:r>
            <w:r w:rsidR="00793546">
              <w:rPr>
                <w:rFonts w:cs="Arial"/>
                <w:lang w:val="en-US"/>
              </w:rPr>
              <w:t>890</w:t>
            </w:r>
            <w:r w:rsidRPr="00390267" w:rsidR="00ED3F5B">
              <w:rPr>
                <w:rFonts w:cs="Arial"/>
                <w:lang w:val="en-US"/>
              </w:rPr>
              <w:t xml:space="preserve"> </w:t>
            </w:r>
            <w:r w:rsidR="005C05E6">
              <w:rPr>
                <w:lang w:val="en-US"/>
              </w:rPr>
              <w:t>million</w:t>
            </w:r>
            <w:r>
              <w:rPr>
                <w:rFonts w:cs="Arial"/>
                <w:lang w:val="en-US"/>
              </w:rPr>
              <w:t>.</w:t>
            </w:r>
          </w:p>
        </w:tc>
      </w:tr>
      <w:tr w:rsidR="007D6070" w:rsidTr="00CB3047" w14:paraId="7B033A98" w14:textId="77777777">
        <w:trPr>
          <w:jc w:val="center"/>
        </w:trPr>
        <w:tc>
          <w:tcPr>
            <w:tcW w:w="2268" w:type="dxa"/>
          </w:tcPr>
          <w:p w:rsidRPr="00DA7477" w:rsidR="007D6070" w:rsidP="007D6070" w:rsidRDefault="00DA7477" w14:paraId="56D67B3C" w14:textId="0CC46FE2">
            <w:pPr>
              <w:spacing w:line="276" w:lineRule="auto"/>
              <w:rPr>
                <w:rStyle w:val="Strong"/>
                <w:rFonts w:cs="Arial"/>
                <w:shd w:val="clear" w:color="auto" w:fill="FFFFFF"/>
              </w:rPr>
            </w:pPr>
            <w:r w:rsidRPr="00DA7477">
              <w:rPr>
                <w:rStyle w:val="Strong"/>
                <w:rFonts w:cs="Arial"/>
                <w:shd w:val="clear" w:color="auto" w:fill="FFFFFF"/>
              </w:rPr>
              <w:t>Discount</w:t>
            </w:r>
          </w:p>
        </w:tc>
        <w:tc>
          <w:tcPr>
            <w:tcW w:w="5524" w:type="dxa"/>
          </w:tcPr>
          <w:p w:rsidRPr="00DA7477" w:rsidR="007D6070" w:rsidP="007D6070" w:rsidRDefault="00DA7477" w14:paraId="7D427EB1" w14:textId="07080396">
            <w:pPr>
              <w:spacing w:line="276" w:lineRule="auto"/>
              <w:rPr>
                <w:rStyle w:val="Strong"/>
                <w:rFonts w:cs="Arial"/>
                <w:b w:val="0"/>
                <w:bCs w:val="0"/>
                <w:shd w:val="clear" w:color="auto" w:fill="FFFFFF"/>
              </w:rPr>
            </w:pPr>
            <w:r w:rsidRPr="00DA7477">
              <w:rPr>
                <w:rStyle w:val="Strong"/>
                <w:rFonts w:cs="Arial"/>
                <w:b w:val="0"/>
                <w:bCs w:val="0"/>
                <w:shd w:val="clear" w:color="auto" w:fill="FFFFFF"/>
              </w:rPr>
              <w:t xml:space="preserve">The </w:t>
            </w:r>
            <w:r w:rsidR="004E4A24">
              <w:rPr>
                <w:rStyle w:val="Strong"/>
                <w:rFonts w:cs="Arial"/>
                <w:b w:val="0"/>
                <w:bCs w:val="0"/>
                <w:shd w:val="clear" w:color="auto" w:fill="FFFFFF"/>
              </w:rPr>
              <w:t>Placing</w:t>
            </w:r>
            <w:r w:rsidRPr="00DA7477">
              <w:rPr>
                <w:rStyle w:val="Strong"/>
                <w:rFonts w:cs="Arial"/>
                <w:b w:val="0"/>
                <w:bCs w:val="0"/>
                <w:shd w:val="clear" w:color="auto" w:fill="FFFFFF"/>
              </w:rPr>
              <w:t xml:space="preserve"> Price represents a discount of approximately</w:t>
            </w:r>
            <w:r w:rsidR="00793546">
              <w:rPr>
                <w:rStyle w:val="Strong"/>
                <w:rFonts w:cs="Arial"/>
                <w:b w:val="0"/>
                <w:bCs w:val="0"/>
                <w:shd w:val="clear" w:color="auto" w:fill="FFFFFF"/>
              </w:rPr>
              <w:t xml:space="preserve"> 3.4%</w:t>
            </w:r>
            <w:r w:rsidR="00ED3F5B">
              <w:rPr>
                <w:rFonts w:cs="Arial"/>
                <w:lang w:val="en-US"/>
              </w:rPr>
              <w:t xml:space="preserve"> </w:t>
            </w:r>
            <w:r w:rsidRPr="00DA7477">
              <w:rPr>
                <w:rStyle w:val="Strong"/>
                <w:rFonts w:cs="Arial"/>
                <w:b w:val="0"/>
                <w:bCs w:val="0"/>
                <w:shd w:val="clear" w:color="auto" w:fill="FFFFFF"/>
              </w:rPr>
              <w:t>per cent</w:t>
            </w:r>
            <w:r w:rsidR="00941BEE">
              <w:rPr>
                <w:rStyle w:val="Strong"/>
                <w:rFonts w:cs="Arial"/>
                <w:b w:val="0"/>
                <w:bCs w:val="0"/>
                <w:shd w:val="clear" w:color="auto" w:fill="FFFFFF"/>
              </w:rPr>
              <w:t>.</w:t>
            </w:r>
            <w:r w:rsidRPr="00DA7477">
              <w:rPr>
                <w:rStyle w:val="Strong"/>
                <w:rFonts w:cs="Arial"/>
                <w:b w:val="0"/>
                <w:bCs w:val="0"/>
                <w:shd w:val="clear" w:color="auto" w:fill="FFFFFF"/>
              </w:rPr>
              <w:t xml:space="preserve"> </w:t>
            </w:r>
            <w:r w:rsidR="0056607E">
              <w:rPr>
                <w:rStyle w:val="Strong"/>
                <w:rFonts w:cs="Arial"/>
                <w:b w:val="0"/>
                <w:bCs w:val="0"/>
                <w:shd w:val="clear" w:color="auto" w:fill="FFFFFF"/>
              </w:rPr>
              <w:t>t</w:t>
            </w:r>
            <w:r w:rsidRPr="00DA7477">
              <w:rPr>
                <w:rStyle w:val="Strong"/>
                <w:rFonts w:cs="Arial"/>
                <w:b w:val="0"/>
                <w:bCs w:val="0"/>
                <w:shd w:val="clear" w:color="auto" w:fill="FFFFFF"/>
              </w:rPr>
              <w:t>o</w:t>
            </w:r>
            <w:r w:rsidR="00793546">
              <w:rPr>
                <w:rStyle w:val="Strong"/>
                <w:rFonts w:cs="Arial"/>
                <w:b w:val="0"/>
                <w:bCs w:val="0"/>
                <w:shd w:val="clear" w:color="auto" w:fill="FFFFFF"/>
              </w:rPr>
              <w:t xml:space="preserve"> 849</w:t>
            </w:r>
            <w:r w:rsidRPr="00390267" w:rsidR="00ED3F5B">
              <w:rPr>
                <w:rFonts w:cs="Arial"/>
                <w:lang w:val="en-US"/>
              </w:rPr>
              <w:t xml:space="preserve"> </w:t>
            </w:r>
            <w:r w:rsidRPr="00DA7477" w:rsidR="003023E3">
              <w:rPr>
                <w:rStyle w:val="Strong"/>
                <w:rFonts w:cs="Arial"/>
                <w:b w:val="0"/>
                <w:bCs w:val="0"/>
                <w:shd w:val="clear" w:color="auto" w:fill="FFFFFF"/>
              </w:rPr>
              <w:t>pence</w:t>
            </w:r>
            <w:r w:rsidR="003023E3">
              <w:rPr>
                <w:rStyle w:val="Strong"/>
                <w:rFonts w:cs="Arial"/>
                <w:b w:val="0"/>
                <w:bCs w:val="0"/>
                <w:shd w:val="clear" w:color="auto" w:fill="FFFFFF"/>
              </w:rPr>
              <w:t xml:space="preserve">, which was </w:t>
            </w:r>
            <w:r w:rsidR="008A429A">
              <w:rPr>
                <w:rStyle w:val="Strong"/>
                <w:rFonts w:cs="Arial"/>
                <w:b w:val="0"/>
                <w:bCs w:val="0"/>
                <w:shd w:val="clear" w:color="auto" w:fill="FFFFFF"/>
              </w:rPr>
              <w:t xml:space="preserve">the closing price on </w:t>
            </w:r>
            <w:r w:rsidR="00775D8A">
              <w:rPr>
                <w:rFonts w:cs="Arial"/>
                <w:lang w:val="en-US"/>
              </w:rPr>
              <w:t>27 </w:t>
            </w:r>
            <w:r w:rsidR="008A429A">
              <w:rPr>
                <w:lang w:val="en-US"/>
              </w:rPr>
              <w:t>February 2024</w:t>
            </w:r>
            <w:r w:rsidRPr="00DA7477">
              <w:rPr>
                <w:rStyle w:val="Strong"/>
                <w:rFonts w:cs="Arial"/>
                <w:b w:val="0"/>
                <w:bCs w:val="0"/>
                <w:shd w:val="clear" w:color="auto" w:fill="FFFFFF"/>
              </w:rPr>
              <w:t>.</w:t>
            </w:r>
          </w:p>
        </w:tc>
      </w:tr>
      <w:tr w:rsidR="007D6070" w:rsidTr="00CB3047" w14:paraId="57198187" w14:textId="77777777">
        <w:trPr>
          <w:jc w:val="center"/>
        </w:trPr>
        <w:tc>
          <w:tcPr>
            <w:tcW w:w="2268" w:type="dxa"/>
          </w:tcPr>
          <w:p w:rsidRPr="00DA7477" w:rsidR="007D6070" w:rsidP="007D6070" w:rsidRDefault="00DA7477" w14:paraId="45EBC172" w14:textId="4A7B85AD">
            <w:pPr>
              <w:spacing w:line="276" w:lineRule="auto"/>
              <w:rPr>
                <w:rStyle w:val="Strong"/>
                <w:rFonts w:cs="Arial"/>
                <w:shd w:val="clear" w:color="auto" w:fill="FFFFFF"/>
              </w:rPr>
            </w:pPr>
            <w:r w:rsidRPr="00DA7477">
              <w:rPr>
                <w:rStyle w:val="Strong"/>
                <w:rFonts w:cs="Arial"/>
                <w:shd w:val="clear" w:color="auto" w:fill="FFFFFF"/>
              </w:rPr>
              <w:t>Allocations</w:t>
            </w:r>
          </w:p>
        </w:tc>
        <w:tc>
          <w:tcPr>
            <w:tcW w:w="5524" w:type="dxa"/>
          </w:tcPr>
          <w:p w:rsidRPr="00DA7477" w:rsidR="007D6070" w:rsidP="007D6070" w:rsidRDefault="00DA7477" w14:paraId="0068FF5F" w14:textId="597E3B87">
            <w:pPr>
              <w:spacing w:line="276" w:lineRule="auto"/>
              <w:rPr>
                <w:rStyle w:val="Strong"/>
                <w:rFonts w:cs="Arial"/>
                <w:b w:val="0"/>
                <w:bCs w:val="0"/>
                <w:shd w:val="clear" w:color="auto" w:fill="FFFFFF"/>
              </w:rPr>
            </w:pPr>
            <w:r w:rsidRPr="00DA7477">
              <w:rPr>
                <w:rStyle w:val="Strong"/>
                <w:rFonts w:cs="Arial"/>
                <w:b w:val="0"/>
                <w:bCs w:val="0"/>
                <w:shd w:val="clear" w:color="auto" w:fill="FFFFFF"/>
              </w:rPr>
              <w:t>Soft pre-emption has been adhered to in the allocations process.</w:t>
            </w:r>
            <w:r w:rsidR="004E4A24">
              <w:rPr>
                <w:rStyle w:val="Strong"/>
                <w:rFonts w:cs="Arial"/>
                <w:b w:val="0"/>
                <w:bCs w:val="0"/>
                <w:shd w:val="clear" w:color="auto" w:fill="FFFFFF"/>
              </w:rPr>
              <w:t xml:space="preserve"> </w:t>
            </w:r>
            <w:r w:rsidRPr="00DA7477">
              <w:rPr>
                <w:rStyle w:val="Strong"/>
                <w:rFonts w:cs="Arial"/>
                <w:b w:val="0"/>
                <w:bCs w:val="0"/>
                <w:shd w:val="clear" w:color="auto" w:fill="FFFFFF"/>
              </w:rPr>
              <w:t xml:space="preserve">The Company was involved in the allocations process, which has been carried out in compliance with all applicable MiFID II allocation requirements. Allocations made outside of soft pre-emption were preferentially directed towards existing shareholders in excess of their </w:t>
            </w:r>
            <w:r w:rsidRPr="004E4A24">
              <w:rPr>
                <w:rStyle w:val="Strong"/>
                <w:rFonts w:cs="Arial"/>
                <w:b w:val="0"/>
                <w:bCs w:val="0"/>
                <w:i/>
                <w:iCs/>
                <w:shd w:val="clear" w:color="auto" w:fill="FFFFFF"/>
              </w:rPr>
              <w:t>pro rata</w:t>
            </w:r>
            <w:r w:rsidRPr="00DA7477">
              <w:rPr>
                <w:rStyle w:val="Strong"/>
                <w:rFonts w:cs="Arial"/>
                <w:b w:val="0"/>
                <w:bCs w:val="0"/>
                <w:shd w:val="clear" w:color="auto" w:fill="FFFFFF"/>
              </w:rPr>
              <w:t>, and wall-crossed accounts.</w:t>
            </w:r>
          </w:p>
        </w:tc>
      </w:tr>
      <w:tr w:rsidR="007D6070" w:rsidTr="00CB3047" w14:paraId="08BCAA78" w14:textId="77777777">
        <w:trPr>
          <w:jc w:val="center"/>
        </w:trPr>
        <w:tc>
          <w:tcPr>
            <w:tcW w:w="2268" w:type="dxa"/>
          </w:tcPr>
          <w:p w:rsidRPr="00DA7477" w:rsidR="007D6070" w:rsidP="007D6070" w:rsidRDefault="00DA7477" w14:paraId="088B03B8" w14:textId="11150E05">
            <w:pPr>
              <w:spacing w:line="276" w:lineRule="auto"/>
              <w:rPr>
                <w:rStyle w:val="Strong"/>
                <w:rFonts w:cs="Arial"/>
                <w:shd w:val="clear" w:color="auto" w:fill="FFFFFF"/>
              </w:rPr>
            </w:pPr>
            <w:r w:rsidRPr="00DA7477">
              <w:rPr>
                <w:rStyle w:val="Strong"/>
                <w:rFonts w:cs="Arial"/>
                <w:shd w:val="clear" w:color="auto" w:fill="FFFFFF"/>
              </w:rPr>
              <w:t>Consultation</w:t>
            </w:r>
          </w:p>
        </w:tc>
        <w:tc>
          <w:tcPr>
            <w:tcW w:w="5524" w:type="dxa"/>
          </w:tcPr>
          <w:p w:rsidRPr="00DA7477" w:rsidR="007D6070" w:rsidP="007D6070" w:rsidRDefault="00DA7477" w14:paraId="581A6C61" w14:textId="6277267E">
            <w:pPr>
              <w:spacing w:line="276" w:lineRule="auto"/>
              <w:rPr>
                <w:rStyle w:val="Strong"/>
                <w:rFonts w:cs="Arial"/>
                <w:b w:val="0"/>
                <w:bCs w:val="0"/>
                <w:shd w:val="clear" w:color="auto" w:fill="FFFFFF"/>
              </w:rPr>
            </w:pPr>
            <w:r w:rsidRPr="00DA7477">
              <w:rPr>
                <w:rStyle w:val="Strong"/>
                <w:rFonts w:cs="Arial"/>
                <w:b w:val="0"/>
                <w:bCs w:val="0"/>
                <w:shd w:val="clear" w:color="auto" w:fill="FFFFFF"/>
              </w:rPr>
              <w:t xml:space="preserve">The </w:t>
            </w:r>
            <w:r w:rsidR="004E4A24">
              <w:rPr>
                <w:rStyle w:val="Strong"/>
                <w:rFonts w:cs="Arial"/>
                <w:b w:val="0"/>
                <w:bCs w:val="0"/>
                <w:shd w:val="clear" w:color="auto" w:fill="FFFFFF"/>
              </w:rPr>
              <w:t>Joint</w:t>
            </w:r>
            <w:r>
              <w:rPr>
                <w:rStyle w:val="Strong"/>
                <w:shd w:val="clear" w:color="auto" w:fill="FFFFFF"/>
              </w:rPr>
              <w:t xml:space="preserve"> </w:t>
            </w:r>
            <w:r w:rsidRPr="00DA7477">
              <w:rPr>
                <w:rStyle w:val="Strong"/>
                <w:rFonts w:cs="Arial"/>
                <w:b w:val="0"/>
                <w:bCs w:val="0"/>
                <w:shd w:val="clear" w:color="auto" w:fill="FFFFFF"/>
              </w:rPr>
              <w:t>Bookrunners undertook a pre-launch wall-crossing process, including consultation with major shareholders, to the extent reasonably practicable and permitted by law.</w:t>
            </w:r>
          </w:p>
        </w:tc>
      </w:tr>
      <w:tr w:rsidR="007D6070" w:rsidTr="00CB3047" w14:paraId="60EF95CF" w14:textId="77777777">
        <w:trPr>
          <w:jc w:val="center"/>
        </w:trPr>
        <w:tc>
          <w:tcPr>
            <w:tcW w:w="2268" w:type="dxa"/>
          </w:tcPr>
          <w:p w:rsidRPr="00DA7477" w:rsidR="007D6070" w:rsidP="007D6070" w:rsidRDefault="00DA7477" w14:paraId="48E48048" w14:textId="09EF8CAC">
            <w:pPr>
              <w:spacing w:line="276" w:lineRule="auto"/>
              <w:rPr>
                <w:rStyle w:val="Strong"/>
                <w:rFonts w:cs="Arial"/>
                <w:shd w:val="clear" w:color="auto" w:fill="FFFFFF"/>
              </w:rPr>
            </w:pPr>
            <w:r w:rsidRPr="00DA7477">
              <w:rPr>
                <w:rStyle w:val="Strong"/>
                <w:rFonts w:cs="Arial"/>
                <w:shd w:val="clear" w:color="auto" w:fill="FFFFFF"/>
              </w:rPr>
              <w:t>Retail investors</w:t>
            </w:r>
          </w:p>
        </w:tc>
        <w:tc>
          <w:tcPr>
            <w:tcW w:w="5524" w:type="dxa"/>
          </w:tcPr>
          <w:p w:rsidRPr="00DA7477" w:rsidR="00DA7477" w:rsidP="00DA7477" w:rsidRDefault="00DA7477" w14:paraId="556E9228" w14:textId="736A50FE">
            <w:pPr>
              <w:spacing w:line="276" w:lineRule="auto"/>
              <w:rPr>
                <w:rStyle w:val="Strong"/>
                <w:rFonts w:cs="Arial"/>
                <w:b w:val="0"/>
                <w:bCs w:val="0"/>
                <w:shd w:val="clear" w:color="auto" w:fill="FFFFFF"/>
              </w:rPr>
            </w:pPr>
            <w:r w:rsidRPr="00DA7477">
              <w:rPr>
                <w:rStyle w:val="Strong"/>
                <w:rFonts w:cs="Arial"/>
                <w:b w:val="0"/>
                <w:bCs w:val="0"/>
                <w:shd w:val="clear" w:color="auto" w:fill="FFFFFF"/>
              </w:rPr>
              <w:t xml:space="preserve">The </w:t>
            </w:r>
            <w:r w:rsidR="004E4A24">
              <w:rPr>
                <w:rStyle w:val="Strong"/>
                <w:rFonts w:cs="Arial"/>
                <w:b w:val="0"/>
                <w:bCs w:val="0"/>
                <w:shd w:val="clear" w:color="auto" w:fill="FFFFFF"/>
              </w:rPr>
              <w:t xml:space="preserve">Placing was accompanied by a </w:t>
            </w:r>
            <w:r w:rsidRPr="00DA7477">
              <w:rPr>
                <w:rStyle w:val="Strong"/>
                <w:rFonts w:cs="Arial"/>
                <w:b w:val="0"/>
                <w:bCs w:val="0"/>
                <w:shd w:val="clear" w:color="auto" w:fill="FFFFFF"/>
              </w:rPr>
              <w:t xml:space="preserve">Retail Offer, for a total of </w:t>
            </w:r>
            <w:r w:rsidRPr="00793546" w:rsidR="00793546">
              <w:rPr>
                <w:rStyle w:val="Strong"/>
                <w:rFonts w:cs="Arial"/>
                <w:b w:val="0"/>
                <w:bCs w:val="0"/>
                <w:shd w:val="clear" w:color="auto" w:fill="FFFFFF"/>
              </w:rPr>
              <w:t>8</w:t>
            </w:r>
            <w:r w:rsidRPr="00793546" w:rsidR="00793546">
              <w:rPr>
                <w:rStyle w:val="Strong"/>
                <w:b w:val="0"/>
                <w:bCs w:val="0"/>
                <w:shd w:val="clear" w:color="auto" w:fill="FFFFFF"/>
              </w:rPr>
              <w:t>29,268</w:t>
            </w:r>
            <w:r w:rsidRPr="00390267" w:rsidR="00ED3F5B">
              <w:rPr>
                <w:rFonts w:cs="Arial"/>
                <w:lang w:val="en-US"/>
              </w:rPr>
              <w:t xml:space="preserve"> </w:t>
            </w:r>
            <w:r w:rsidRPr="00DA7477">
              <w:rPr>
                <w:rStyle w:val="Strong"/>
                <w:rFonts w:cs="Arial"/>
                <w:b w:val="0"/>
                <w:bCs w:val="0"/>
                <w:shd w:val="clear" w:color="auto" w:fill="FFFFFF"/>
              </w:rPr>
              <w:t>Ordinary Shares, via the PrimaryBid platform.</w:t>
            </w:r>
          </w:p>
          <w:p w:rsidRPr="00DA7477" w:rsidR="00DA7477" w:rsidP="00DA7477" w:rsidRDefault="00DA7477" w14:paraId="051259D8" w14:textId="77777777">
            <w:pPr>
              <w:spacing w:line="276" w:lineRule="auto"/>
              <w:rPr>
                <w:rStyle w:val="Strong"/>
                <w:rFonts w:cs="Arial"/>
                <w:b w:val="0"/>
                <w:bCs w:val="0"/>
                <w:shd w:val="clear" w:color="auto" w:fill="FFFFFF"/>
              </w:rPr>
            </w:pPr>
          </w:p>
          <w:p w:rsidRPr="00DA7477" w:rsidR="00DA7477" w:rsidP="00DA7477" w:rsidRDefault="00DA7477" w14:paraId="2C0D6453" w14:textId="78A88BFB">
            <w:pPr>
              <w:spacing w:line="276" w:lineRule="auto"/>
              <w:rPr>
                <w:rStyle w:val="Strong"/>
                <w:rFonts w:cs="Arial"/>
                <w:b w:val="0"/>
                <w:bCs w:val="0"/>
                <w:shd w:val="clear" w:color="auto" w:fill="FFFFFF"/>
              </w:rPr>
            </w:pPr>
            <w:r w:rsidRPr="00DA7477">
              <w:rPr>
                <w:rStyle w:val="Strong"/>
                <w:rFonts w:cs="Arial"/>
                <w:b w:val="0"/>
                <w:bCs w:val="0"/>
                <w:shd w:val="clear" w:color="auto" w:fill="FFFFFF"/>
              </w:rPr>
              <w:t xml:space="preserve">Retail investors who participated in the Retail Offer were able to do so at the same </w:t>
            </w:r>
            <w:r w:rsidR="004E4A24">
              <w:rPr>
                <w:rStyle w:val="Strong"/>
                <w:rFonts w:cs="Arial"/>
                <w:b w:val="0"/>
                <w:bCs w:val="0"/>
                <w:shd w:val="clear" w:color="auto" w:fill="FFFFFF"/>
              </w:rPr>
              <w:t>Placing</w:t>
            </w:r>
            <w:r w:rsidRPr="00DA7477">
              <w:rPr>
                <w:rStyle w:val="Strong"/>
                <w:rFonts w:cs="Arial"/>
                <w:b w:val="0"/>
                <w:bCs w:val="0"/>
                <w:shd w:val="clear" w:color="auto" w:fill="FFFFFF"/>
              </w:rPr>
              <w:t xml:space="preserve"> Price as all other investors participating in the Placing.</w:t>
            </w:r>
          </w:p>
          <w:p w:rsidRPr="00DA7477" w:rsidR="00DA7477" w:rsidP="00DA7477" w:rsidRDefault="00DA7477" w14:paraId="68E4573A" w14:textId="77777777">
            <w:pPr>
              <w:spacing w:line="276" w:lineRule="auto"/>
              <w:rPr>
                <w:rStyle w:val="Strong"/>
                <w:rFonts w:cs="Arial"/>
                <w:b w:val="0"/>
                <w:bCs w:val="0"/>
                <w:shd w:val="clear" w:color="auto" w:fill="FFFFFF"/>
              </w:rPr>
            </w:pPr>
          </w:p>
          <w:p w:rsidRPr="00DA7477" w:rsidR="007D6070" w:rsidP="00B27B38" w:rsidRDefault="00DA7477" w14:paraId="011A16F6" w14:textId="4E8D5560">
            <w:pPr>
              <w:spacing w:line="276" w:lineRule="auto"/>
              <w:rPr>
                <w:rStyle w:val="Strong"/>
                <w:rFonts w:cs="Arial"/>
                <w:b w:val="0"/>
                <w:bCs w:val="0"/>
                <w:shd w:val="clear" w:color="auto" w:fill="FFFFFF"/>
              </w:rPr>
            </w:pPr>
            <w:r w:rsidRPr="00DA7477">
              <w:rPr>
                <w:rStyle w:val="Strong"/>
                <w:rFonts w:cs="Arial"/>
                <w:b w:val="0"/>
                <w:bCs w:val="0"/>
                <w:shd w:val="clear" w:color="auto" w:fill="FFFFFF"/>
              </w:rPr>
              <w:t xml:space="preserve">The Retail Offer was made available to existing shareholders and new investors in the UK. Investors were able to participate through PrimaryBid's free-to-use direct channel. </w:t>
            </w:r>
            <w:r w:rsidR="004E4A24">
              <w:rPr>
                <w:rStyle w:val="Strong"/>
                <w:rFonts w:cs="Arial"/>
                <w:b w:val="0"/>
                <w:bCs w:val="0"/>
                <w:shd w:val="clear" w:color="auto" w:fill="FFFFFF"/>
              </w:rPr>
              <w:t>As such,</w:t>
            </w:r>
            <w:r w:rsidRPr="00DA7477">
              <w:rPr>
                <w:rStyle w:val="Strong"/>
                <w:rFonts w:cs="Arial"/>
                <w:b w:val="0"/>
                <w:bCs w:val="0"/>
                <w:shd w:val="clear" w:color="auto" w:fill="FFFFFF"/>
              </w:rPr>
              <w:t xml:space="preserve"> to the extent practicable on the transaction timetable, eligible UK retail investors (including certificated retail shareholders) had the opportunity to participate in the </w:t>
            </w:r>
            <w:r w:rsidR="004E4A24">
              <w:rPr>
                <w:rStyle w:val="Strong"/>
                <w:rFonts w:cs="Arial"/>
                <w:b w:val="0"/>
                <w:bCs w:val="0"/>
                <w:shd w:val="clear" w:color="auto" w:fill="FFFFFF"/>
              </w:rPr>
              <w:t>Retail Offer</w:t>
            </w:r>
            <w:r w:rsidRPr="00DA7477">
              <w:rPr>
                <w:rStyle w:val="Strong"/>
                <w:rFonts w:cs="Arial"/>
                <w:b w:val="0"/>
                <w:bCs w:val="0"/>
                <w:shd w:val="clear" w:color="auto" w:fill="FFFFFF"/>
              </w:rPr>
              <w:t xml:space="preserve"> alongside institutional investors.</w:t>
            </w:r>
          </w:p>
        </w:tc>
      </w:tr>
    </w:tbl>
    <w:p w:rsidR="007D6070" w:rsidP="007D6070" w:rsidRDefault="007D6070" w14:paraId="061EB8E5" w14:textId="63A7D087">
      <w:pPr>
        <w:spacing w:line="276" w:lineRule="auto"/>
        <w:rPr>
          <w:rStyle w:val="Strong"/>
          <w:rFonts w:cs="Arial"/>
          <w:b w:val="0"/>
          <w:bCs w:val="0"/>
          <w:shd w:val="clear" w:color="auto" w:fill="FFFFFF"/>
        </w:rPr>
      </w:pPr>
    </w:p>
    <w:p w:rsidRPr="007D6070" w:rsidR="007D6070" w:rsidP="007D6070" w:rsidRDefault="007D6070" w14:paraId="37F7B2BF" w14:textId="77777777">
      <w:pPr>
        <w:spacing w:line="276" w:lineRule="auto"/>
        <w:rPr>
          <w:rStyle w:val="Strong"/>
          <w:rFonts w:cs="Arial"/>
          <w:b w:val="0"/>
          <w:bCs w:val="0"/>
          <w:shd w:val="clear" w:color="auto" w:fill="FFFFFF"/>
        </w:rPr>
      </w:pPr>
    </w:p>
    <w:p w:rsidR="00583219" w:rsidP="008D3DAD" w:rsidRDefault="003D7277" w14:paraId="2A44D5CB" w14:textId="56470B00">
      <w:pPr>
        <w:keepNext/>
        <w:spacing w:line="276" w:lineRule="auto"/>
        <w:rPr>
          <w:rStyle w:val="Strong"/>
          <w:rFonts w:cs="Arial"/>
          <w:shd w:val="clear" w:color="auto" w:fill="FFFFFF"/>
        </w:rPr>
      </w:pPr>
      <w:r w:rsidRPr="004B0BDE">
        <w:rPr>
          <w:rStyle w:val="Strong"/>
          <w:rFonts w:cs="Arial"/>
          <w:shd w:val="clear" w:color="auto" w:fill="FFFFFF"/>
        </w:rPr>
        <w:lastRenderedPageBreak/>
        <w:t>About SEGRO</w:t>
      </w:r>
    </w:p>
    <w:p w:rsidR="00C202B8" w:rsidP="008D3DAD" w:rsidRDefault="00C202B8" w14:paraId="7E7DF5D5" w14:textId="414CEFBA">
      <w:pPr>
        <w:keepNext/>
        <w:spacing w:line="276" w:lineRule="auto"/>
        <w:rPr>
          <w:rStyle w:val="Strong"/>
          <w:rFonts w:cs="Arial"/>
          <w:shd w:val="clear" w:color="auto" w:fill="FFFFFF"/>
        </w:rPr>
      </w:pPr>
    </w:p>
    <w:p w:rsidRPr="00C202B8" w:rsidR="00C202B8" w:rsidP="008D3DAD" w:rsidRDefault="00C202B8" w14:paraId="378229C2" w14:textId="79E7F179">
      <w:pPr>
        <w:keepNext/>
        <w:spacing w:after="225" w:line="276" w:lineRule="auto"/>
        <w:rPr>
          <w:rFonts w:cs="Arial"/>
          <w:color w:val="000000"/>
        </w:rPr>
      </w:pPr>
      <w:r w:rsidRPr="00C202B8">
        <w:rPr>
          <w:rFonts w:cs="Arial"/>
          <w:color w:val="000000"/>
        </w:rPr>
        <w:t>SEGRO is a UK Real Estate Investment Trust (REIT), listed on the London Stock Exchange and Euronext Paris, and is a leading owner, manager and developer of modern warehouses and industrial property. It owns or manages 10.</w:t>
      </w:r>
      <w:r w:rsidR="00940135">
        <w:rPr>
          <w:rFonts w:cs="Arial"/>
          <w:color w:val="000000"/>
        </w:rPr>
        <w:t>4</w:t>
      </w:r>
      <w:r w:rsidRPr="00C202B8">
        <w:rPr>
          <w:rFonts w:cs="Arial"/>
          <w:color w:val="000000"/>
        </w:rPr>
        <w:t xml:space="preserve"> million square metres of space (11</w:t>
      </w:r>
      <w:r w:rsidR="00940135">
        <w:rPr>
          <w:rFonts w:cs="Arial"/>
          <w:color w:val="000000"/>
        </w:rPr>
        <w:t>2</w:t>
      </w:r>
      <w:r w:rsidRPr="00C202B8">
        <w:rPr>
          <w:rFonts w:cs="Arial"/>
          <w:color w:val="000000"/>
        </w:rPr>
        <w:t xml:space="preserve"> million square feet) valued at £2</w:t>
      </w:r>
      <w:r w:rsidR="00940135">
        <w:rPr>
          <w:rFonts w:cs="Arial"/>
          <w:color w:val="000000"/>
        </w:rPr>
        <w:t>0.7</w:t>
      </w:r>
      <w:r w:rsidRPr="00C202B8">
        <w:rPr>
          <w:rFonts w:cs="Arial"/>
          <w:color w:val="000000"/>
        </w:rPr>
        <w:t xml:space="preserve"> billion as </w:t>
      </w:r>
      <w:proofErr w:type="gramStart"/>
      <w:r w:rsidRPr="00C202B8">
        <w:rPr>
          <w:rFonts w:cs="Arial"/>
          <w:color w:val="000000"/>
        </w:rPr>
        <w:t>at</w:t>
      </w:r>
      <w:proofErr w:type="gramEnd"/>
      <w:r w:rsidRPr="00C202B8">
        <w:rPr>
          <w:rFonts w:cs="Arial"/>
          <w:color w:val="000000"/>
        </w:rPr>
        <w:t xml:space="preserve"> </w:t>
      </w:r>
      <w:r w:rsidR="00940135">
        <w:rPr>
          <w:rFonts w:cs="Arial"/>
          <w:color w:val="000000"/>
        </w:rPr>
        <w:t>31 December 2023</w:t>
      </w:r>
      <w:r w:rsidRPr="00C202B8">
        <w:rPr>
          <w:rFonts w:cs="Arial"/>
          <w:color w:val="000000"/>
        </w:rPr>
        <w:t>, serving customers from a wide range of industry sectors. Its properties are located in and around major cities and at key transportation hubs in the UK and in seven other European countries.</w:t>
      </w:r>
    </w:p>
    <w:p w:rsidRPr="00C202B8" w:rsidR="00C202B8" w:rsidP="00C202B8" w:rsidRDefault="00C202B8" w14:paraId="1788D42A" w14:textId="77777777">
      <w:pPr>
        <w:spacing w:after="225" w:line="276" w:lineRule="auto"/>
        <w:rPr>
          <w:rFonts w:cs="Arial"/>
          <w:color w:val="000000"/>
        </w:rPr>
      </w:pPr>
      <w:r w:rsidRPr="00C202B8">
        <w:rPr>
          <w:rFonts w:cs="Arial"/>
          <w:color w:val="000000"/>
        </w:rPr>
        <w:t>For over 100 years SEGRO has been creating the space that enables extraordinary things to happen. From modern big box warehouses, used primarily for regional, national and international distribution hubs, to urban warehousing located close to major population centres and business districts, it provides high-quality assets that allow its customers to thrive.</w:t>
      </w:r>
    </w:p>
    <w:p w:rsidRPr="00C202B8" w:rsidR="00C202B8" w:rsidP="00C202B8" w:rsidRDefault="00C202B8" w14:paraId="77401D2E" w14:textId="2122CD6A">
      <w:pPr>
        <w:spacing w:after="225" w:line="276" w:lineRule="auto"/>
        <w:rPr>
          <w:rFonts w:cs="Arial"/>
          <w:color w:val="000000"/>
        </w:rPr>
      </w:pPr>
      <w:r w:rsidRPr="00C202B8">
        <w:rPr>
          <w:rFonts w:cs="Arial"/>
          <w:color w:val="000000"/>
        </w:rPr>
        <w:t xml:space="preserve">A commitment to be a force for societal and environmental good is integral to SEGRO’s purpose and strategy. Its Responsible SEGRO framework focuses on three long-term priorities where the company believes it can make the greatest impact: Championing </w:t>
      </w:r>
      <w:r w:rsidR="00BC3B80">
        <w:rPr>
          <w:rFonts w:cs="Arial"/>
          <w:color w:val="000000"/>
        </w:rPr>
        <w:t>l</w:t>
      </w:r>
      <w:r w:rsidRPr="00C202B8">
        <w:rPr>
          <w:rFonts w:cs="Arial"/>
          <w:color w:val="000000"/>
        </w:rPr>
        <w:t>ow-</w:t>
      </w:r>
      <w:r w:rsidR="00BC3B80">
        <w:rPr>
          <w:rFonts w:cs="Arial"/>
          <w:color w:val="000000"/>
        </w:rPr>
        <w:t>c</w:t>
      </w:r>
      <w:r w:rsidRPr="00C202B8">
        <w:rPr>
          <w:rFonts w:cs="Arial"/>
          <w:color w:val="000000"/>
        </w:rPr>
        <w:t xml:space="preserve">arbon </w:t>
      </w:r>
      <w:r w:rsidR="00BC3B80">
        <w:rPr>
          <w:rFonts w:cs="Arial"/>
          <w:color w:val="000000"/>
        </w:rPr>
        <w:t>g</w:t>
      </w:r>
      <w:r w:rsidRPr="00C202B8">
        <w:rPr>
          <w:rFonts w:cs="Arial"/>
          <w:color w:val="000000"/>
        </w:rPr>
        <w:t xml:space="preserve">rowth, Investing in </w:t>
      </w:r>
      <w:r w:rsidR="00BC3B80">
        <w:rPr>
          <w:rFonts w:cs="Arial"/>
          <w:color w:val="000000"/>
        </w:rPr>
        <w:t xml:space="preserve">local communities </w:t>
      </w:r>
      <w:r w:rsidRPr="00C202B8">
        <w:rPr>
          <w:rFonts w:cs="Arial"/>
          <w:color w:val="000000"/>
        </w:rPr>
        <w:t xml:space="preserve">and </w:t>
      </w:r>
      <w:r w:rsidR="00BC3B80">
        <w:rPr>
          <w:rFonts w:cs="Arial"/>
          <w:color w:val="000000"/>
        </w:rPr>
        <w:t>e</w:t>
      </w:r>
      <w:r w:rsidRPr="00C202B8">
        <w:rPr>
          <w:rFonts w:cs="Arial"/>
          <w:color w:val="000000"/>
        </w:rPr>
        <w:t xml:space="preserve">nvironments and Nurturing </w:t>
      </w:r>
      <w:r w:rsidR="00BC3B80">
        <w:rPr>
          <w:rFonts w:cs="Arial"/>
          <w:color w:val="000000"/>
        </w:rPr>
        <w:t>t</w:t>
      </w:r>
      <w:r w:rsidRPr="00C202B8">
        <w:rPr>
          <w:rFonts w:cs="Arial"/>
          <w:color w:val="000000"/>
        </w:rPr>
        <w:t>alent.</w:t>
      </w:r>
    </w:p>
    <w:p w:rsidRPr="00C202B8" w:rsidR="005776B9" w:rsidP="00C202B8" w:rsidRDefault="005776B9" w14:paraId="12EB839F" w14:textId="77777777">
      <w:pPr>
        <w:pStyle w:val="Normal1"/>
        <w:rPr>
          <w:rFonts w:cs="Arial"/>
          <w:szCs w:val="20"/>
        </w:rPr>
      </w:pPr>
      <w:r w:rsidRPr="00C202B8">
        <w:rPr>
          <w:rFonts w:cs="Arial"/>
          <w:szCs w:val="20"/>
        </w:rPr>
        <w:t>See www.SEGRO.com for further information.</w:t>
      </w:r>
    </w:p>
    <w:p w:rsidRPr="004B0BDE" w:rsidR="00583219" w:rsidP="00583219" w:rsidRDefault="00583219" w14:paraId="48DD9C3C" w14:textId="77777777">
      <w:pPr>
        <w:pStyle w:val="Normal1"/>
        <w:rPr>
          <w:rFonts w:cs="Arial"/>
          <w:szCs w:val="20"/>
        </w:rPr>
      </w:pPr>
    </w:p>
    <w:p w:rsidRPr="004B0BDE" w:rsidR="00583219" w:rsidP="00583219" w:rsidRDefault="003D7277" w14:paraId="78BF8309" w14:textId="45DC1700">
      <w:pPr>
        <w:pStyle w:val="Normal1"/>
        <w:jc w:val="center"/>
        <w:rPr>
          <w:rFonts w:cs="Arial"/>
          <w:b/>
          <w:bCs/>
          <w:spacing w:val="0"/>
          <w:szCs w:val="20"/>
        </w:rPr>
      </w:pPr>
      <w:r w:rsidRPr="004B0BDE">
        <w:rPr>
          <w:rFonts w:cs="Arial"/>
          <w:b/>
          <w:bCs/>
          <w:spacing w:val="0"/>
          <w:szCs w:val="20"/>
        </w:rPr>
        <w:t>IMPORTANT NOTICE</w:t>
      </w:r>
      <w:r w:rsidR="000C700B">
        <w:rPr>
          <w:rFonts w:cs="Arial"/>
          <w:b/>
          <w:bCs/>
          <w:spacing w:val="0"/>
          <w:szCs w:val="20"/>
        </w:rPr>
        <w:t>S</w:t>
      </w:r>
    </w:p>
    <w:p w:rsidRPr="00F40E8C" w:rsidR="008D3DAD" w:rsidP="008D3DAD" w:rsidRDefault="008D3DAD" w14:paraId="69D17FB7" w14:textId="77777777">
      <w:pPr>
        <w:pStyle w:val="Normal1"/>
        <w:spacing w:after="240"/>
        <w:rPr>
          <w:spacing w:val="0"/>
          <w:szCs w:val="20"/>
          <w:lang w:val="en-US"/>
        </w:rPr>
      </w:pPr>
      <w:r w:rsidRPr="00F40E8C">
        <w:rPr>
          <w:spacing w:val="0"/>
          <w:szCs w:val="20"/>
          <w:lang w:val="en-US"/>
        </w:rPr>
        <w:t>This Announcement and the information contained herein, is restricted and is not for publication, release</w:t>
      </w:r>
      <w:r>
        <w:rPr>
          <w:spacing w:val="0"/>
          <w:szCs w:val="20"/>
          <w:lang w:val="en-US"/>
        </w:rPr>
        <w:t>, transmission, forwarding</w:t>
      </w:r>
      <w:r w:rsidRPr="00F40E8C">
        <w:rPr>
          <w:spacing w:val="0"/>
          <w:szCs w:val="20"/>
          <w:lang w:val="en-US"/>
        </w:rPr>
        <w:t xml:space="preserve"> or distribution, directly or indirectly, in whole or in part, in or into the United States of America, its territories and possessions, any </w:t>
      </w:r>
      <w:r>
        <w:rPr>
          <w:spacing w:val="0"/>
          <w:szCs w:val="20"/>
          <w:lang w:val="en-US"/>
        </w:rPr>
        <w:t>s</w:t>
      </w:r>
      <w:r w:rsidRPr="00F40E8C">
        <w:rPr>
          <w:spacing w:val="0"/>
          <w:szCs w:val="20"/>
          <w:lang w:val="en-US"/>
        </w:rPr>
        <w:t>tate of the United States or the District of Columbia (collectively, the</w:t>
      </w:r>
      <w:r>
        <w:rPr>
          <w:spacing w:val="0"/>
          <w:szCs w:val="20"/>
          <w:lang w:val="en-US"/>
        </w:rPr>
        <w:t> “</w:t>
      </w:r>
      <w:r w:rsidRPr="00F40E8C">
        <w:rPr>
          <w:b/>
          <w:spacing w:val="0"/>
          <w:szCs w:val="20"/>
          <w:lang w:val="en-US"/>
        </w:rPr>
        <w:t>United States</w:t>
      </w:r>
      <w:r w:rsidRPr="00F40E8C">
        <w:rPr>
          <w:spacing w:val="0"/>
          <w:szCs w:val="20"/>
          <w:lang w:val="en-US"/>
        </w:rPr>
        <w:t>”), Australia, Canada, Republic of South Africa</w:t>
      </w:r>
      <w:r>
        <w:rPr>
          <w:spacing w:val="0"/>
          <w:szCs w:val="20"/>
          <w:lang w:val="en-US"/>
        </w:rPr>
        <w:t>,</w:t>
      </w:r>
      <w:r w:rsidRPr="00F40E8C">
        <w:rPr>
          <w:spacing w:val="0"/>
          <w:szCs w:val="20"/>
          <w:lang w:val="en-US"/>
        </w:rPr>
        <w:t xml:space="preserve"> Japan or any other jurisdiction in which such publication, release or distribution would be unlawful.</w:t>
      </w:r>
    </w:p>
    <w:p w:rsidRPr="001B2082" w:rsidR="00791D55" w:rsidP="00791D55" w:rsidRDefault="00791D55" w14:paraId="37D3F55E" w14:textId="25DC026A">
      <w:pPr>
        <w:pStyle w:val="Normal1"/>
        <w:rPr>
          <w:rFonts w:cs="Arial"/>
          <w:spacing w:val="0"/>
          <w:szCs w:val="20"/>
        </w:rPr>
      </w:pPr>
      <w:r w:rsidRPr="001B2082">
        <w:rPr>
          <w:rFonts w:cs="Arial"/>
          <w:spacing w:val="0"/>
          <w:szCs w:val="20"/>
        </w:rPr>
        <w:t xml:space="preserve">No action has been taken by the Company or the </w:t>
      </w:r>
      <w:r w:rsidR="00EB51E4">
        <w:rPr>
          <w:rFonts w:cs="Arial"/>
          <w:spacing w:val="0"/>
          <w:szCs w:val="20"/>
        </w:rPr>
        <w:t>Banks</w:t>
      </w:r>
      <w:r w:rsidRPr="001B2082">
        <w:rPr>
          <w:rFonts w:cs="Arial"/>
          <w:spacing w:val="0"/>
          <w:szCs w:val="20"/>
        </w:rPr>
        <w:t xml:space="preserve">, or any of their respective affiliates, or any person acting on its or their behalf, that would, or which is intended to, permit a public offer of the Placing Shares in any jurisdiction or result in the possession or distribution of this Announcement or any other offering or publicity material relating to the Placing Shares in any jurisdiction where action for that purpose is required. Any failure to comply with these restrictions may constitute a violation of the securities laws of such jurisdictions. Persons into whose possession this Announcement comes shall inform themselves about, and observe, such restrictions. </w:t>
      </w:r>
    </w:p>
    <w:p w:rsidRPr="001B2082" w:rsidR="00791D55" w:rsidP="00791D55" w:rsidRDefault="00791D55" w14:paraId="5978D5A3" w14:textId="1C51EEB2">
      <w:pPr>
        <w:pStyle w:val="Normal1"/>
        <w:rPr>
          <w:rFonts w:cs="Arial"/>
          <w:spacing w:val="0"/>
          <w:szCs w:val="20"/>
        </w:rPr>
      </w:pPr>
      <w:r w:rsidRPr="001B2082">
        <w:rPr>
          <w:rFonts w:cs="Arial"/>
          <w:spacing w:val="0"/>
          <w:szCs w:val="20"/>
        </w:rPr>
        <w:t>No prospectus will be made available in connection with the matters contained in this Announcement and no such prospectus is required (in accordance with the Prospectus Regulation (EU) 2017/1129 as amended from time to time (the “</w:t>
      </w:r>
      <w:r w:rsidRPr="001B2082">
        <w:rPr>
          <w:rFonts w:cs="Arial"/>
          <w:b/>
          <w:spacing w:val="0"/>
          <w:szCs w:val="20"/>
        </w:rPr>
        <w:t>EU Prospectus Regulation</w:t>
      </w:r>
      <w:r w:rsidRPr="001B2082">
        <w:rPr>
          <w:rFonts w:cs="Arial"/>
          <w:spacing w:val="0"/>
          <w:szCs w:val="20"/>
        </w:rPr>
        <w:t>”) or Prospectus Regulation (EU) 2017/1129 as it forms part of UK domestic law as amended from time to time by virtue of the European Union (Withdrawal) Act 2018 (the “</w:t>
      </w:r>
      <w:r w:rsidRPr="001B2082">
        <w:rPr>
          <w:rFonts w:cs="Arial"/>
          <w:b/>
          <w:spacing w:val="0"/>
          <w:szCs w:val="20"/>
        </w:rPr>
        <w:t>UK Prospectus Regulation</w:t>
      </w:r>
      <w:r w:rsidRPr="001B2082">
        <w:rPr>
          <w:rFonts w:cs="Arial"/>
          <w:spacing w:val="0"/>
          <w:szCs w:val="20"/>
        </w:rPr>
        <w:t>” and together with the EU Prospectus Regulation, the “</w:t>
      </w:r>
      <w:r w:rsidRPr="001B2082">
        <w:rPr>
          <w:rFonts w:cs="Arial"/>
          <w:b/>
          <w:spacing w:val="0"/>
          <w:szCs w:val="20"/>
        </w:rPr>
        <w:t>Prospectus Regulations</w:t>
      </w:r>
      <w:r w:rsidRPr="001B2082">
        <w:rPr>
          <w:rFonts w:cs="Arial"/>
          <w:spacing w:val="0"/>
          <w:szCs w:val="20"/>
        </w:rPr>
        <w:t>” ) to be published. Persons needing advice should consult an independent financial adviser.</w:t>
      </w:r>
    </w:p>
    <w:p w:rsidRPr="001B2082" w:rsidR="00791D55" w:rsidP="00791D55" w:rsidRDefault="00791D55" w14:paraId="0BA8BACA" w14:textId="2DD7CA4F">
      <w:pPr>
        <w:pStyle w:val="Normal1"/>
        <w:rPr>
          <w:rFonts w:cs="Arial"/>
          <w:spacing w:val="0"/>
          <w:szCs w:val="20"/>
        </w:rPr>
      </w:pPr>
      <w:r w:rsidRPr="001B2082">
        <w:rPr>
          <w:rFonts w:cs="Arial"/>
          <w:spacing w:val="0"/>
          <w:szCs w:val="20"/>
        </w:rPr>
        <w:t xml:space="preserve">This Announcement is for information purposes only and does not constitute an offer or invitation to underwrite, buy, subscribe, sell or issue, or the solicitation of an offer to buy, sell, acquire, dispose or subscribe for, the Placing Shares, the Retail Offer Shares or any other security in the United States, Australia, Canada, Republic of South Africa, Japan or in any jurisdiction in which, or to any persons to whom, such offering, solicitation or sale would be unlawful or require registration. </w:t>
      </w:r>
    </w:p>
    <w:p w:rsidRPr="00F81911" w:rsidR="00605F50" w:rsidP="00605F50" w:rsidRDefault="00605F50" w14:paraId="1B81B690" w14:textId="77777777">
      <w:pPr>
        <w:pStyle w:val="Normal1"/>
        <w:rPr>
          <w:rFonts w:cs="Arial"/>
          <w:spacing w:val="0"/>
          <w:szCs w:val="20"/>
        </w:rPr>
      </w:pPr>
      <w:r w:rsidRPr="00F81911">
        <w:rPr>
          <w:rFonts w:cs="Arial"/>
          <w:spacing w:val="0"/>
          <w:szCs w:val="20"/>
        </w:rPr>
        <w:t>The Placing Shares and the Retail Offer Shares have not been, and will not be, registered under the U.S. Securities Act of 1933, as amended (the "</w:t>
      </w:r>
      <w:r w:rsidRPr="00F81911">
        <w:rPr>
          <w:rFonts w:cs="Arial"/>
          <w:b/>
          <w:bCs/>
          <w:spacing w:val="0"/>
          <w:szCs w:val="20"/>
        </w:rPr>
        <w:t>Securities Act</w:t>
      </w:r>
      <w:r w:rsidRPr="00F81911">
        <w:rPr>
          <w:rFonts w:cs="Arial"/>
          <w:spacing w:val="0"/>
          <w:szCs w:val="20"/>
        </w:rPr>
        <w:t>"), or under the securities laws of any State or other jurisdiction of the United States, and may not be offered, sold or transferred, directly or indirectly, in or into the United States except pursuant to an exemption from, or in a transaction not subject to, the registration requirements of the Securities Act and in compliance with any applicable securities laws of any State or other jurisdiction of the United States. There will be no public offering of the Placing Shares or the Retail Offer Shares in the United States.</w:t>
      </w:r>
      <w:r w:rsidRPr="00F81911">
        <w:rPr>
          <w:rFonts w:cs="Arial"/>
          <w:szCs w:val="20"/>
        </w:rPr>
        <w:t xml:space="preserve"> </w:t>
      </w:r>
    </w:p>
    <w:p w:rsidRPr="001B2082" w:rsidR="00791D55" w:rsidP="00791D55" w:rsidRDefault="00791D55" w14:paraId="5A883E88" w14:textId="77777777">
      <w:pPr>
        <w:pStyle w:val="Normal1"/>
        <w:rPr>
          <w:rFonts w:cs="Arial"/>
          <w:spacing w:val="0"/>
          <w:szCs w:val="20"/>
        </w:rPr>
      </w:pPr>
      <w:r w:rsidRPr="001B2082">
        <w:rPr>
          <w:rFonts w:cs="Arial"/>
          <w:spacing w:val="0"/>
          <w:szCs w:val="20"/>
        </w:rPr>
        <w:t>The Placing and the Retail Offer ha</w:t>
      </w:r>
      <w:r>
        <w:rPr>
          <w:rFonts w:cs="Arial"/>
          <w:spacing w:val="0"/>
          <w:szCs w:val="20"/>
        </w:rPr>
        <w:t>ve</w:t>
      </w:r>
      <w:r w:rsidRPr="001B2082">
        <w:rPr>
          <w:rFonts w:cs="Arial"/>
          <w:spacing w:val="0"/>
          <w:szCs w:val="20"/>
        </w:rPr>
        <w:t xml:space="preserve"> not been approved, disapproved or recommended by the U.S. Securities and Exchange Commission, any </w:t>
      </w:r>
      <w:r>
        <w:rPr>
          <w:rFonts w:cs="Arial"/>
          <w:spacing w:val="0"/>
          <w:szCs w:val="20"/>
        </w:rPr>
        <w:t>S</w:t>
      </w:r>
      <w:r w:rsidRPr="001B2082">
        <w:rPr>
          <w:rFonts w:cs="Arial"/>
          <w:spacing w:val="0"/>
          <w:szCs w:val="20"/>
        </w:rPr>
        <w:t xml:space="preserve">tate securities commission </w:t>
      </w:r>
      <w:r>
        <w:rPr>
          <w:rFonts w:cs="Arial"/>
          <w:spacing w:val="0"/>
          <w:szCs w:val="20"/>
        </w:rPr>
        <w:t xml:space="preserve">or other regulatory authority </w:t>
      </w:r>
      <w:r w:rsidRPr="001B2082">
        <w:rPr>
          <w:rFonts w:cs="Arial"/>
          <w:spacing w:val="0"/>
          <w:szCs w:val="20"/>
        </w:rPr>
        <w:t xml:space="preserve">in the United States, </w:t>
      </w:r>
      <w:r w:rsidRPr="001B2082">
        <w:rPr>
          <w:rFonts w:cs="Arial"/>
          <w:spacing w:val="0"/>
          <w:szCs w:val="20"/>
        </w:rPr>
        <w:lastRenderedPageBreak/>
        <w:t xml:space="preserve">nor have any of the foregoing authorities passed upon or endorsed the merits of the Placing or the Retail Offer, or the accuracy or adequacy of this </w:t>
      </w:r>
      <w:r>
        <w:rPr>
          <w:rFonts w:cs="Arial"/>
          <w:spacing w:val="0"/>
          <w:szCs w:val="20"/>
        </w:rPr>
        <w:t>Announcement</w:t>
      </w:r>
      <w:r w:rsidRPr="001B2082">
        <w:rPr>
          <w:rFonts w:cs="Arial"/>
          <w:spacing w:val="0"/>
          <w:szCs w:val="20"/>
        </w:rPr>
        <w:t>. Any representation to the contrary is a criminal offence in the United States.</w:t>
      </w:r>
    </w:p>
    <w:p w:rsidRPr="001B2082" w:rsidR="00791D55" w:rsidP="00791D55" w:rsidRDefault="00791D55" w14:paraId="37D3C691" w14:textId="32147E59">
      <w:pPr>
        <w:pStyle w:val="Normal1"/>
        <w:rPr>
          <w:rFonts w:cs="Arial"/>
          <w:spacing w:val="0"/>
          <w:szCs w:val="20"/>
        </w:rPr>
      </w:pPr>
      <w:r>
        <w:rPr>
          <w:rFonts w:cs="Arial"/>
          <w:spacing w:val="0"/>
          <w:szCs w:val="20"/>
        </w:rPr>
        <w:t>Neither the Placing Shares nor the Retail Offer Shares</w:t>
      </w:r>
      <w:r w:rsidRPr="001B2082">
        <w:rPr>
          <w:rFonts w:cs="Arial"/>
          <w:spacing w:val="0"/>
          <w:szCs w:val="20"/>
        </w:rPr>
        <w:t xml:space="preserve"> have been, nor will they be, </w:t>
      </w:r>
      <w:r w:rsidRPr="004613E5">
        <w:rPr>
          <w:rFonts w:cs="Arial"/>
          <w:spacing w:val="0"/>
          <w:szCs w:val="20"/>
        </w:rPr>
        <w:t>qualified for distribution to the public in Canada pursuant to a prospectus filed with</w:t>
      </w:r>
      <w:r>
        <w:rPr>
          <w:rFonts w:cs="Arial"/>
          <w:spacing w:val="0"/>
          <w:szCs w:val="20"/>
        </w:rPr>
        <w:t xml:space="preserve"> </w:t>
      </w:r>
      <w:r w:rsidRPr="001B2082">
        <w:rPr>
          <w:rFonts w:cs="Arial"/>
          <w:spacing w:val="0"/>
          <w:szCs w:val="20"/>
        </w:rPr>
        <w:t xml:space="preserve">the securities </w:t>
      </w:r>
      <w:r>
        <w:rPr>
          <w:rFonts w:cs="Arial"/>
          <w:spacing w:val="0"/>
          <w:szCs w:val="20"/>
        </w:rPr>
        <w:t>regulatory authority</w:t>
      </w:r>
      <w:r w:rsidRPr="001B2082">
        <w:rPr>
          <w:rFonts w:cs="Arial"/>
          <w:spacing w:val="0"/>
          <w:szCs w:val="20"/>
        </w:rPr>
        <w:t xml:space="preserve"> of any province or territory of Canada; no prospectus has been lodged with, or registered by, the Australian Securities and Investments Commission or the Japanese Ministry of Finance; and </w:t>
      </w:r>
      <w:r w:rsidR="008D3DAD">
        <w:rPr>
          <w:rFonts w:cs="Arial"/>
          <w:spacing w:val="0"/>
          <w:szCs w:val="20"/>
        </w:rPr>
        <w:t>neither the</w:t>
      </w:r>
      <w:r w:rsidRPr="001B2082">
        <w:rPr>
          <w:rFonts w:cs="Arial"/>
          <w:spacing w:val="0"/>
          <w:szCs w:val="20"/>
        </w:rPr>
        <w:t xml:space="preserve"> Placing Shares</w:t>
      </w:r>
      <w:r w:rsidR="008D3DAD">
        <w:rPr>
          <w:rFonts w:cs="Arial"/>
          <w:spacing w:val="0"/>
          <w:szCs w:val="20"/>
        </w:rPr>
        <w:t xml:space="preserve"> nor the Retail Offer Shares have been</w:t>
      </w:r>
      <w:r w:rsidRPr="001B2082">
        <w:rPr>
          <w:rFonts w:cs="Arial"/>
          <w:spacing w:val="0"/>
          <w:szCs w:val="20"/>
        </w:rPr>
        <w:t xml:space="preserve">, and nor will they be, registered under or offered in compliance with the securities laws of any state, province or territory of Canada, Australia, Republic of South Africa or Japan. Accordingly, </w:t>
      </w:r>
      <w:r w:rsidR="008D3DAD">
        <w:rPr>
          <w:rFonts w:cs="Arial"/>
          <w:spacing w:val="0"/>
          <w:szCs w:val="20"/>
        </w:rPr>
        <w:t xml:space="preserve">neither </w:t>
      </w:r>
      <w:r w:rsidRPr="001B2082">
        <w:rPr>
          <w:rFonts w:cs="Arial"/>
          <w:spacing w:val="0"/>
          <w:szCs w:val="20"/>
        </w:rPr>
        <w:t xml:space="preserve">the Placing Shares </w:t>
      </w:r>
      <w:r w:rsidR="008D3DAD">
        <w:rPr>
          <w:rFonts w:cs="Arial"/>
          <w:spacing w:val="0"/>
          <w:szCs w:val="20"/>
        </w:rPr>
        <w:t>nor the Retail Offer Shares may</w:t>
      </w:r>
      <w:r w:rsidRPr="001B2082">
        <w:rPr>
          <w:rFonts w:cs="Arial"/>
          <w:spacing w:val="0"/>
          <w:szCs w:val="20"/>
        </w:rPr>
        <w:t xml:space="preserve"> (unless an exemption under the relevant securities laws is applicable) be offered, sold, resold or delivered, directly or indirectly, in or into Canada, Australia, Republic of South Africa, Japan or any other jurisdiction outside the United Kingdom or to, or for the account or benefit of any national, resident or citizen of Australia, Republic of South Africa, Japan or to any investor located or resident in Canada. </w:t>
      </w:r>
    </w:p>
    <w:p w:rsidRPr="0043664A" w:rsidR="00791D55" w:rsidP="00791D55" w:rsidRDefault="00791D55" w14:paraId="52757660" w14:textId="77777777">
      <w:pPr>
        <w:pStyle w:val="Normal1"/>
        <w:rPr>
          <w:rFonts w:cs="Arial"/>
          <w:spacing w:val="0"/>
          <w:szCs w:val="20"/>
        </w:rPr>
      </w:pPr>
      <w:r w:rsidRPr="001B2082">
        <w:rPr>
          <w:rFonts w:cs="Arial"/>
          <w:spacing w:val="0"/>
          <w:szCs w:val="20"/>
        </w:rPr>
        <w:t>This Announcement does not constitute, or purport to include the information required of, a disclosure document under Chapter 6D of the Corporations Act 2001 (Cth) (the "</w:t>
      </w:r>
      <w:r w:rsidRPr="001B2082">
        <w:rPr>
          <w:rFonts w:cs="Arial"/>
          <w:b/>
          <w:spacing w:val="0"/>
          <w:szCs w:val="20"/>
        </w:rPr>
        <w:t>Corporations Act</w:t>
      </w:r>
      <w:r w:rsidRPr="001B2082">
        <w:rPr>
          <w:rFonts w:cs="Arial"/>
          <w:spacing w:val="0"/>
          <w:szCs w:val="20"/>
        </w:rPr>
        <w:t>") or a product disclosure statement under Chapter 7 of the Corporations Act and will not be lodged with the Australian Securities and Investments Commission. No offer of securities is made pursuant to this Announcement in Australia except to a person who is: (i) either a "sophisticated investor" within the meaning of section 708(8) of the Corporations Act or a "professional investor" within the meaning of section 9 and section 708(11) of the Corporations Act; and (ii) a "wholesale client" for the purposes of section 761G</w:t>
      </w:r>
      <w:r>
        <w:rPr>
          <w:rFonts w:cs="Arial"/>
          <w:spacing w:val="0"/>
          <w:szCs w:val="20"/>
        </w:rPr>
        <w:t xml:space="preserve"> </w:t>
      </w:r>
      <w:r w:rsidRPr="001B2082">
        <w:rPr>
          <w:rFonts w:cs="Arial"/>
          <w:spacing w:val="0"/>
          <w:szCs w:val="20"/>
        </w:rPr>
        <w:t xml:space="preserve">of the Corporations Act (and related regulations) who has complied with all relevant requirements in this respect. No Placing Shares may be offered for sale (or transferred, assigned or otherwise alienated) to investors in Australia for at least 12 months after their issue, except in circumstances where disclosure to investors is not required under Part 6D.2 of the Corporations </w:t>
      </w:r>
      <w:r w:rsidRPr="0043664A">
        <w:rPr>
          <w:rFonts w:cs="Arial"/>
          <w:spacing w:val="0"/>
          <w:szCs w:val="20"/>
        </w:rPr>
        <w:t>Act.</w:t>
      </w:r>
      <w:r w:rsidRPr="0043664A">
        <w:rPr>
          <w:rFonts w:cs="Arial"/>
          <w:b/>
          <w:i/>
        </w:rPr>
        <w:t xml:space="preserve"> </w:t>
      </w:r>
    </w:p>
    <w:p w:rsidRPr="001B2082" w:rsidR="00791D55" w:rsidP="00BC3B80" w:rsidRDefault="00791D55" w14:paraId="7F4B2892" w14:textId="77777777">
      <w:pPr>
        <w:pStyle w:val="Normal1"/>
        <w:keepNext/>
        <w:rPr>
          <w:rFonts w:cs="Arial"/>
          <w:spacing w:val="0"/>
          <w:szCs w:val="20"/>
        </w:rPr>
      </w:pPr>
      <w:r w:rsidRPr="0043664A">
        <w:rPr>
          <w:rFonts w:cs="Arial"/>
          <w:spacing w:val="0"/>
          <w:szCs w:val="20"/>
        </w:rPr>
        <w:t>NOTICE TO CANADIAN INVESTORS</w:t>
      </w:r>
    </w:p>
    <w:p w:rsidRPr="001B2082" w:rsidR="00791D55" w:rsidP="00791D55" w:rsidRDefault="00791D55" w14:paraId="0160783B" w14:textId="77777777">
      <w:pPr>
        <w:pStyle w:val="Normal1"/>
        <w:rPr>
          <w:rFonts w:cs="Arial"/>
          <w:spacing w:val="0"/>
          <w:szCs w:val="20"/>
        </w:rPr>
      </w:pPr>
      <w:r w:rsidRPr="001B2082">
        <w:rPr>
          <w:rFonts w:cs="Arial"/>
          <w:spacing w:val="0"/>
          <w:szCs w:val="20"/>
        </w:rPr>
        <w:t>The Placing Shares may be sold only to purchasers purchasing, or deemed to be purchasing, as principal that are accredited investors, as defined in National Instrument 45-106 Prospectus Exemptions or subsection 73.3(1) of the Securities Act (Ontario), and are permitted clients, as defined in National Instrument 31-103 Registration Requirements, Exemptions and Ongoing Registrant Obligations. Any resale of the Placing Shares must be made in accordance with an exemption from, or in a transaction not subject to, the prospectus requirements of applicable securities laws.</w:t>
      </w:r>
    </w:p>
    <w:p w:rsidRPr="001B2082" w:rsidR="00791D55" w:rsidP="00791D55" w:rsidRDefault="00791D55" w14:paraId="6CF12767" w14:textId="77777777">
      <w:pPr>
        <w:pStyle w:val="Normal1"/>
        <w:rPr>
          <w:rFonts w:cs="Arial"/>
          <w:spacing w:val="0"/>
          <w:szCs w:val="20"/>
        </w:rPr>
      </w:pPr>
      <w:r w:rsidRPr="001B2082">
        <w:rPr>
          <w:rFonts w:cs="Arial"/>
          <w:spacing w:val="0"/>
          <w:szCs w:val="20"/>
        </w:rPr>
        <w:t>Securities legislation in certain provinces or territories of Canada may provide a purchaser with remedies for rescission or damages if this offering memorandum (including any amendment thereto) contains a misrepresentation, provided that the remedies for rescission or damages are exercised by the purchaser within the time limit prescribed by the securities legislation of the purchaser’s province or territory. The purchaser should refer to any applicable provisions of the securities legislation of the purchaser’s province or territory for particulars of these rights or consult with a legal advisor.</w:t>
      </w:r>
    </w:p>
    <w:p w:rsidRPr="001B2082" w:rsidR="00791D55" w:rsidP="00791D55" w:rsidRDefault="00791D55" w14:paraId="7A818E8E" w14:textId="77777777">
      <w:pPr>
        <w:pStyle w:val="Normal1"/>
        <w:rPr>
          <w:rFonts w:cs="Arial"/>
          <w:spacing w:val="0"/>
          <w:szCs w:val="20"/>
        </w:rPr>
      </w:pPr>
      <w:r w:rsidRPr="001B2082">
        <w:rPr>
          <w:rFonts w:cs="Arial"/>
          <w:spacing w:val="0"/>
          <w:szCs w:val="20"/>
        </w:rPr>
        <w:t>Pursuant to section 3A.3 of National Instrument 33-105 Underwriting Conflicts (“</w:t>
      </w:r>
      <w:r w:rsidRPr="001B2082">
        <w:rPr>
          <w:rFonts w:cs="Arial"/>
          <w:b/>
          <w:spacing w:val="0"/>
          <w:szCs w:val="20"/>
        </w:rPr>
        <w:t>NI 33-105</w:t>
      </w:r>
      <w:r w:rsidRPr="001B2082">
        <w:rPr>
          <w:rFonts w:cs="Arial"/>
          <w:spacing w:val="0"/>
          <w:szCs w:val="20"/>
        </w:rPr>
        <w:t>”), the Agents are not required to comply with the disclosure requirements of NI 33-105 regarding underwriter conflicts of interest in connection with this offering.</w:t>
      </w:r>
    </w:p>
    <w:p w:rsidRPr="00B26E72" w:rsidR="00B26E72" w:rsidP="00B26E72" w:rsidRDefault="00B26E72" w14:paraId="2AF3B02A" w14:textId="77777777">
      <w:pPr>
        <w:pStyle w:val="Normal1"/>
        <w:rPr>
          <w:rFonts w:cs="Arial"/>
          <w:spacing w:val="0"/>
          <w:szCs w:val="20"/>
        </w:rPr>
      </w:pPr>
      <w:r>
        <w:rPr>
          <w:rFonts w:cs="Arial"/>
          <w:spacing w:val="0"/>
          <w:szCs w:val="20"/>
        </w:rPr>
        <w:t>This Announcement is for information purposes only and is directed only at persons whose ordinary activities involve them in acquiring, holding, managing and disposing of investments (as principal or agent) for the purposes of their business and who have professional experience in matters relating to investments and are: (a) persons in member states of the European Economic Area, who are “qualified investors” within the meaning of Article 2(e) of the EU Prospectus Regulation, or (b) persons in the United Kingdom (i) who are “qualified investors” within the meaning of Article 2(e) of the UK Prospectus Regulation and who are investment professionals falling within Article 19(5) of the Financial Services and Markets Act 2000 (Financial Promotion) Order 2005 (the “</w:t>
      </w:r>
      <w:r>
        <w:rPr>
          <w:rFonts w:cs="Arial"/>
          <w:b/>
          <w:bCs/>
          <w:spacing w:val="0"/>
          <w:szCs w:val="20"/>
        </w:rPr>
        <w:t>Order</w:t>
      </w:r>
      <w:r w:rsidRPr="00B26E72">
        <w:rPr>
          <w:rFonts w:cs="Arial"/>
          <w:spacing w:val="0"/>
          <w:szCs w:val="20"/>
        </w:rPr>
        <w:t xml:space="preserve">”) </w:t>
      </w:r>
      <w:r>
        <w:rPr>
          <w:rFonts w:cs="Arial"/>
          <w:spacing w:val="0"/>
          <w:szCs w:val="20"/>
        </w:rPr>
        <w:t>or (ii) who fall within Article 49(2)(a) to (d) of the Order, or (c) in the case of persons located in the United States, persons who are reasonably believed to be “qualified institutional buyers” (as defined in Rule 144A under the US Securities Act of 1933, as amended), or (d) persons to whom it may otherwise be lawfully communicated (all such persons in (a), (b), (c) and (d) together being referred to as “</w:t>
      </w:r>
      <w:r>
        <w:rPr>
          <w:rFonts w:cs="Arial"/>
          <w:b/>
          <w:bCs/>
          <w:spacing w:val="0"/>
          <w:szCs w:val="20"/>
        </w:rPr>
        <w:t>Relevant Persons</w:t>
      </w:r>
      <w:r>
        <w:rPr>
          <w:rFonts w:cs="Arial"/>
          <w:spacing w:val="0"/>
          <w:szCs w:val="20"/>
        </w:rPr>
        <w:t xml:space="preserve">”). This Announcement must not be acted on or relied on by persons who are not Relevant Persons. Persons distributing this Announcement must satisfy themselves that it is lawful to do so. Any investment or investment activity to which this Announcement relates is available only to Relevant Persons and will be engaged in only with Relevant Persons. </w:t>
      </w:r>
    </w:p>
    <w:p w:rsidR="00531BB1" w:rsidP="00531BB1" w:rsidRDefault="00791D55" w14:paraId="70C96888" w14:textId="19E1B3D5">
      <w:pPr>
        <w:pStyle w:val="Normal1"/>
        <w:rPr>
          <w:rFonts w:cs="Arial"/>
          <w:spacing w:val="0"/>
          <w:szCs w:val="20"/>
        </w:rPr>
      </w:pPr>
      <w:r w:rsidRPr="008B47C4">
        <w:rPr>
          <w:rFonts w:cs="Arial"/>
          <w:spacing w:val="0"/>
          <w:szCs w:val="20"/>
        </w:rPr>
        <w:lastRenderedPageBreak/>
        <w:t>Morgan Stanley &amp; Co</w:t>
      </w:r>
      <w:r w:rsidR="00CD6C4C">
        <w:rPr>
          <w:rFonts w:cs="Arial"/>
          <w:spacing w:val="0"/>
          <w:szCs w:val="20"/>
        </w:rPr>
        <w:t>.</w:t>
      </w:r>
      <w:r w:rsidRPr="008B47C4">
        <w:rPr>
          <w:rFonts w:cs="Arial"/>
          <w:spacing w:val="0"/>
          <w:szCs w:val="20"/>
        </w:rPr>
        <w:t xml:space="preserve"> International plc</w:t>
      </w:r>
      <w:r w:rsidR="00ED453A">
        <w:rPr>
          <w:rFonts w:cs="Arial"/>
          <w:spacing w:val="0"/>
          <w:szCs w:val="20"/>
        </w:rPr>
        <w:t xml:space="preserve"> is</w:t>
      </w:r>
      <w:r w:rsidRPr="001B2082">
        <w:rPr>
          <w:rFonts w:cs="Arial"/>
          <w:spacing w:val="0"/>
          <w:szCs w:val="20"/>
        </w:rPr>
        <w:t xml:space="preserve"> authorised by the Prudential Regulation Authority and regulated in the United Kingdom by the Financial Conduct Authority and the Prudential Regulation Authority</w:t>
      </w:r>
      <w:r w:rsidR="00ED453A">
        <w:rPr>
          <w:rFonts w:cs="Arial"/>
          <w:spacing w:val="0"/>
          <w:szCs w:val="20"/>
        </w:rPr>
        <w:t>.</w:t>
      </w:r>
      <w:r w:rsidRPr="001B2082">
        <w:rPr>
          <w:rFonts w:cs="Arial"/>
          <w:spacing w:val="0"/>
          <w:szCs w:val="20"/>
        </w:rPr>
        <w:t xml:space="preserve"> UBS AG London Branch</w:t>
      </w:r>
      <w:r w:rsidR="00ED453A">
        <w:rPr>
          <w:rFonts w:cs="Arial"/>
          <w:spacing w:val="0"/>
          <w:szCs w:val="20"/>
        </w:rPr>
        <w:t xml:space="preserve"> is</w:t>
      </w:r>
      <w:r w:rsidRPr="001B2082">
        <w:rPr>
          <w:rFonts w:cs="Arial"/>
          <w:spacing w:val="0"/>
          <w:szCs w:val="20"/>
        </w:rPr>
        <w:t xml:space="preserve"> authorised and regulated by the Financial Market Supervisory Authority in Switzerland and authorised by the Prudential Regulatory Authority and subject to regulation by the Financial Conduct Authority and limited regulation by the Prudential Regulation Authority </w:t>
      </w:r>
      <w:r w:rsidRPr="00B27B38">
        <w:rPr>
          <w:rFonts w:cs="Arial"/>
          <w:spacing w:val="0"/>
          <w:szCs w:val="20"/>
        </w:rPr>
        <w:t>in the United Kingdom</w:t>
      </w:r>
      <w:r w:rsidRPr="00B27B38" w:rsidR="00ED453A">
        <w:rPr>
          <w:rFonts w:cs="Arial"/>
          <w:spacing w:val="0"/>
          <w:szCs w:val="20"/>
        </w:rPr>
        <w:t xml:space="preserve">. Barclays Bank PLC is authorised by the Prudential Regulation Authority and regulated in the United Kingdom by the Financial Conduct Authority and the Prudential Regulation Authority. BNP PARIBAS is authorised and regulated by the European Central Bank and the </w:t>
      </w:r>
      <w:r w:rsidRPr="00B27B38" w:rsidR="00ED453A">
        <w:rPr>
          <w:rFonts w:cs="Arial"/>
          <w:i/>
          <w:iCs/>
          <w:spacing w:val="0"/>
          <w:szCs w:val="20"/>
        </w:rPr>
        <w:t xml:space="preserve">Autorité de contrôle prudentiel et de </w:t>
      </w:r>
      <w:proofErr w:type="gramStart"/>
      <w:r w:rsidRPr="00B27B38" w:rsidR="00ED453A">
        <w:rPr>
          <w:rFonts w:cs="Arial"/>
          <w:i/>
          <w:iCs/>
          <w:spacing w:val="0"/>
          <w:szCs w:val="20"/>
        </w:rPr>
        <w:t>r</w:t>
      </w:r>
      <w:r w:rsidRPr="00B27B38" w:rsidR="00ED453A">
        <w:rPr>
          <w:rFonts w:cs="Arial"/>
          <w:i/>
          <w:iCs/>
          <w:szCs w:val="20"/>
        </w:rPr>
        <w:t>é</w:t>
      </w:r>
      <w:r w:rsidRPr="00B27B38" w:rsidR="00ED453A">
        <w:rPr>
          <w:rFonts w:cs="Arial"/>
          <w:i/>
          <w:iCs/>
          <w:spacing w:val="0"/>
          <w:szCs w:val="20"/>
        </w:rPr>
        <w:t>solution</w:t>
      </w:r>
      <w:r w:rsidRPr="00B27B38" w:rsidR="00ED453A">
        <w:rPr>
          <w:rFonts w:cs="Arial"/>
          <w:spacing w:val="0"/>
          <w:szCs w:val="20"/>
        </w:rPr>
        <w:t>, and</w:t>
      </w:r>
      <w:proofErr w:type="gramEnd"/>
      <w:r w:rsidRPr="00B27B38" w:rsidR="00ED453A">
        <w:rPr>
          <w:rFonts w:cs="Arial"/>
          <w:spacing w:val="0"/>
          <w:szCs w:val="20"/>
        </w:rPr>
        <w:t xml:space="preserve"> is authorised by the Prudential Regulation Authority and is subject to regulation by the Financial Conduct Authority and limited regulation by the Prudential Regulation Authority. The </w:t>
      </w:r>
      <w:r w:rsidRPr="00B27B38" w:rsidR="00EB51E4">
        <w:rPr>
          <w:rFonts w:cs="Arial"/>
          <w:spacing w:val="0"/>
          <w:szCs w:val="20"/>
        </w:rPr>
        <w:t xml:space="preserve">Banks </w:t>
      </w:r>
      <w:r w:rsidRPr="00B27B38" w:rsidR="00ED453A">
        <w:rPr>
          <w:rFonts w:cs="Arial"/>
          <w:spacing w:val="0"/>
          <w:szCs w:val="20"/>
        </w:rPr>
        <w:t>are acting</w:t>
      </w:r>
      <w:r w:rsidRPr="00B27B38">
        <w:rPr>
          <w:rFonts w:cs="Arial"/>
          <w:spacing w:val="0"/>
          <w:szCs w:val="20"/>
        </w:rPr>
        <w:t xml:space="preserve"> </w:t>
      </w:r>
      <w:r w:rsidRPr="001B2082">
        <w:rPr>
          <w:rFonts w:cs="Arial"/>
          <w:spacing w:val="0"/>
          <w:szCs w:val="20"/>
        </w:rPr>
        <w:t xml:space="preserve">for the Company in connection with the Placing and no one else and will not be responsible to anyone other than the Company for providing the protections afforded to their clients nor for providing advice to any other person in relation to the Placing and/or any other matter referred to in this Announcement. </w:t>
      </w:r>
      <w:r w:rsidR="00531BB1">
        <w:rPr>
          <w:rFonts w:cs="Arial"/>
          <w:spacing w:val="0"/>
          <w:szCs w:val="20"/>
        </w:rPr>
        <w:t>As required by applicable securities laws, the licensing status of the Joint Bookrunners in the Republic of South Africa is as follows: Morgan Stanley &amp; Co. International plc holds an exemption from the licensing requirement of the Financial Advisory and Intermediary Services Act 37 of 2002 (“</w:t>
      </w:r>
      <w:r w:rsidR="00531BB1">
        <w:rPr>
          <w:rFonts w:cs="Arial"/>
          <w:b/>
          <w:bCs/>
          <w:spacing w:val="0"/>
          <w:szCs w:val="20"/>
        </w:rPr>
        <w:t>FAIS</w:t>
      </w:r>
      <w:r w:rsidR="00531BB1">
        <w:rPr>
          <w:rFonts w:cs="Arial"/>
          <w:spacing w:val="0"/>
          <w:szCs w:val="20"/>
        </w:rPr>
        <w:t>”) and it is therefore not regulated in the Republic of South Africa, while UBS AG London Branch holds a financial services provider (“</w:t>
      </w:r>
      <w:r w:rsidR="00531BB1">
        <w:rPr>
          <w:rFonts w:cs="Arial"/>
          <w:b/>
          <w:bCs/>
          <w:spacing w:val="0"/>
          <w:szCs w:val="20"/>
        </w:rPr>
        <w:t>FSP</w:t>
      </w:r>
      <w:r w:rsidR="00531BB1">
        <w:rPr>
          <w:rFonts w:cs="Arial"/>
          <w:spacing w:val="0"/>
          <w:szCs w:val="20"/>
        </w:rPr>
        <w:t>”) licence (under FSP number: 30475) granted in terms of section 7(1) of FAIS).</w:t>
      </w:r>
    </w:p>
    <w:p w:rsidRPr="001B2082" w:rsidR="00791D55" w:rsidP="00791D55" w:rsidRDefault="00791D55" w14:paraId="53D16A7A" w14:textId="7EB6F131">
      <w:pPr>
        <w:pStyle w:val="Normal1"/>
        <w:rPr>
          <w:rFonts w:cs="Arial"/>
          <w:spacing w:val="0"/>
          <w:szCs w:val="20"/>
        </w:rPr>
      </w:pPr>
      <w:r w:rsidRPr="001B2082">
        <w:rPr>
          <w:rFonts w:cs="Arial"/>
          <w:spacing w:val="0"/>
          <w:szCs w:val="20"/>
        </w:rPr>
        <w:t xml:space="preserve">This Announcement is being issued by and is the sole responsibility of the Company. No representation or warranty, express or implied, is or will be made as to, or in relation to, and no responsibility or liability is or will be accepted by the </w:t>
      </w:r>
      <w:r w:rsidR="00EB51E4">
        <w:rPr>
          <w:rFonts w:cs="Arial"/>
          <w:spacing w:val="0"/>
          <w:szCs w:val="20"/>
        </w:rPr>
        <w:t>Banks</w:t>
      </w:r>
      <w:r w:rsidRPr="001B2082" w:rsidR="00EB51E4">
        <w:rPr>
          <w:rFonts w:cs="Arial"/>
          <w:spacing w:val="0"/>
          <w:szCs w:val="20"/>
        </w:rPr>
        <w:t xml:space="preserve"> </w:t>
      </w:r>
      <w:r w:rsidRPr="001B2082">
        <w:rPr>
          <w:rFonts w:cs="Arial"/>
          <w:spacing w:val="0"/>
          <w:szCs w:val="20"/>
        </w:rPr>
        <w:t xml:space="preserve">nor any of their respective affiliates or agents (or any of their respective directors, officers, employees or advisers or any person acting on their behalf) for the contents of the information contained in this Announcement, or any other written or oral information made available to or publicly available to any interested party or its advisers, or any other statement made or purported to be made by or on behalf of </w:t>
      </w:r>
      <w:r w:rsidR="00ED453A">
        <w:rPr>
          <w:rFonts w:cs="Arial"/>
          <w:spacing w:val="0"/>
          <w:szCs w:val="20"/>
        </w:rPr>
        <w:t xml:space="preserve">any </w:t>
      </w:r>
      <w:r w:rsidR="00EB51E4">
        <w:rPr>
          <w:rFonts w:cs="Arial"/>
          <w:spacing w:val="0"/>
          <w:szCs w:val="20"/>
        </w:rPr>
        <w:t>Bank</w:t>
      </w:r>
      <w:r w:rsidRPr="001B2082" w:rsidR="00EB51E4">
        <w:rPr>
          <w:rFonts w:cs="Arial"/>
          <w:spacing w:val="0"/>
          <w:szCs w:val="20"/>
        </w:rPr>
        <w:t xml:space="preserve"> </w:t>
      </w:r>
      <w:r w:rsidRPr="001B2082">
        <w:rPr>
          <w:rFonts w:cs="Arial"/>
          <w:spacing w:val="0"/>
          <w:szCs w:val="20"/>
        </w:rPr>
        <w:t xml:space="preserve">or any of their respective Affiliates in connection with the Company, the Placing Shares or the Placing and any responsibility therefor is expressly disclaimed. The </w:t>
      </w:r>
      <w:r w:rsidR="00EB51E4">
        <w:rPr>
          <w:rFonts w:cs="Arial"/>
          <w:spacing w:val="0"/>
          <w:szCs w:val="20"/>
        </w:rPr>
        <w:t>Banks</w:t>
      </w:r>
      <w:r w:rsidRPr="001B2082" w:rsidR="00EB51E4">
        <w:rPr>
          <w:rFonts w:cs="Arial"/>
          <w:spacing w:val="0"/>
          <w:szCs w:val="20"/>
        </w:rPr>
        <w:t xml:space="preserve"> </w:t>
      </w:r>
      <w:r w:rsidRPr="001B2082">
        <w:rPr>
          <w:rFonts w:cs="Arial"/>
          <w:spacing w:val="0"/>
          <w:szCs w:val="20"/>
        </w:rPr>
        <w:t xml:space="preserve">and each of their respective Affiliates accordingly disclaim all and any liability, whether arising in tort, contract or otherwise (save as referred to above) in respect of any statements or other information contained in this Announcement and no representation or warranty, express or implied, is made by </w:t>
      </w:r>
      <w:r w:rsidR="00ED453A">
        <w:rPr>
          <w:rFonts w:cs="Arial"/>
          <w:spacing w:val="0"/>
          <w:szCs w:val="20"/>
        </w:rPr>
        <w:t>any</w:t>
      </w:r>
      <w:r w:rsidRPr="001B2082">
        <w:rPr>
          <w:rFonts w:cs="Arial"/>
          <w:spacing w:val="0"/>
          <w:szCs w:val="20"/>
        </w:rPr>
        <w:t xml:space="preserve"> </w:t>
      </w:r>
      <w:r w:rsidR="00EB51E4">
        <w:rPr>
          <w:rFonts w:cs="Arial"/>
          <w:spacing w:val="0"/>
          <w:szCs w:val="20"/>
        </w:rPr>
        <w:t>Bank</w:t>
      </w:r>
      <w:r w:rsidRPr="001B2082" w:rsidR="00EB51E4">
        <w:rPr>
          <w:rFonts w:cs="Arial"/>
          <w:spacing w:val="0"/>
          <w:szCs w:val="20"/>
        </w:rPr>
        <w:t xml:space="preserve"> </w:t>
      </w:r>
      <w:r w:rsidRPr="001B2082">
        <w:rPr>
          <w:rFonts w:cs="Arial"/>
          <w:spacing w:val="0"/>
          <w:szCs w:val="20"/>
        </w:rPr>
        <w:t xml:space="preserve">or any of their respective affiliates as to the accuracy, completeness or sufficiency of the information contained in this Announcement. </w:t>
      </w:r>
    </w:p>
    <w:p w:rsidR="00791D55" w:rsidP="00791D55" w:rsidRDefault="00791D55" w14:paraId="23EE9B18" w14:textId="50B2A452">
      <w:pPr>
        <w:pStyle w:val="Normal1"/>
        <w:rPr>
          <w:rFonts w:cs="Arial"/>
          <w:spacing w:val="0"/>
          <w:szCs w:val="20"/>
        </w:rPr>
      </w:pPr>
      <w:r w:rsidRPr="001B2082">
        <w:rPr>
          <w:rFonts w:cs="Arial"/>
          <w:spacing w:val="0"/>
          <w:szCs w:val="20"/>
        </w:rPr>
        <w:t>This Announcement does not identify or suggest, or purport to identify or suggest, the risks (direct or indirect) that may be associated with an investment in the Placing Shares</w:t>
      </w:r>
      <w:r w:rsidR="008D3DAD">
        <w:rPr>
          <w:rFonts w:cs="Arial"/>
          <w:spacing w:val="0"/>
          <w:szCs w:val="20"/>
        </w:rPr>
        <w:t xml:space="preserve"> or the Retail Offer Shares</w:t>
      </w:r>
      <w:r w:rsidRPr="001B2082">
        <w:rPr>
          <w:rFonts w:cs="Arial"/>
          <w:spacing w:val="0"/>
          <w:szCs w:val="20"/>
        </w:rPr>
        <w:t xml:space="preserve">. Any investment decision to buy Placing Shares in the Placing </w:t>
      </w:r>
      <w:r w:rsidR="00DE0EF5">
        <w:rPr>
          <w:rFonts w:cs="Arial"/>
          <w:spacing w:val="0"/>
          <w:szCs w:val="20"/>
        </w:rPr>
        <w:t xml:space="preserve">or Retail Offer Shares </w:t>
      </w:r>
      <w:r w:rsidRPr="001B2082">
        <w:rPr>
          <w:rFonts w:cs="Arial"/>
          <w:spacing w:val="0"/>
          <w:szCs w:val="20"/>
        </w:rPr>
        <w:t xml:space="preserve">must be made solely on the basis of publicly available information, which has not been independently verified by the </w:t>
      </w:r>
      <w:r w:rsidR="00EB51E4">
        <w:rPr>
          <w:rFonts w:cs="Arial"/>
          <w:spacing w:val="0"/>
          <w:szCs w:val="20"/>
        </w:rPr>
        <w:t>Banks</w:t>
      </w:r>
      <w:r w:rsidRPr="001B2082">
        <w:rPr>
          <w:rFonts w:cs="Arial"/>
          <w:spacing w:val="0"/>
          <w:szCs w:val="20"/>
        </w:rPr>
        <w:t>.</w:t>
      </w:r>
      <w:r w:rsidRPr="001B2082">
        <w:rPr>
          <w:rFonts w:cs="Arial"/>
        </w:rPr>
        <w:t xml:space="preserve"> </w:t>
      </w:r>
      <w:r w:rsidRPr="00940426">
        <w:rPr>
          <w:rFonts w:cs="Arial"/>
          <w:spacing w:val="0"/>
          <w:szCs w:val="20"/>
        </w:rPr>
        <w:t xml:space="preserve">Any indication in this Announcement of the price at which ordinary shares have been bought or sold in the past cannot be relied upon as a guide to future performance. The price of shares and any income expected from them may go down as well as up and investors may not get back the full amount invested upon disposal of the shares. </w:t>
      </w:r>
      <w:r w:rsidRPr="008464A6" w:rsidR="00DE0EF5">
        <w:rPr>
          <w:rFonts w:cs="Arial"/>
        </w:rPr>
        <w:t>Past performance is no guide for future performance and persons reading this Announcement should consult an independent financial adviser.</w:t>
      </w:r>
    </w:p>
    <w:p w:rsidRPr="008464A6" w:rsidR="00DE0EF5" w:rsidP="00DE0EF5" w:rsidRDefault="00DE0EF5" w14:paraId="31622E64" w14:textId="4D9261D6">
      <w:pPr>
        <w:pStyle w:val="Normal1"/>
        <w:rPr>
          <w:rFonts w:cs="Arial"/>
        </w:rPr>
      </w:pPr>
      <w:r w:rsidRPr="008464A6">
        <w:rPr>
          <w:rFonts w:cs="Arial"/>
        </w:rPr>
        <w:t xml:space="preserve">This Announcement contains certain forward-looking statements with respect to certain of the Company’s current expectations and projections about future performance, anticipated events or trends and other matters that are not historical facts. These forward-looking statements, which sometimes use words such as “aim”, “anticipate”, “believe”, “intend”, “plan”, “estimate”, “expect” and words of similar meaning, include all matters that are not historical facts and reflect the directors’ beliefs and expectations and involve a number of risks, uncertainties and assumptions that could cause actual results and performance to differ materially from any expected future results or performance expressed or implied by the forward-looking statement. These statements are subject to unknown risks, uncertainties and other factors that could cause actual results to differ materially from those expressed or implied by such forward-looking statements. Statements contained in this Announcement regarding past trends or activities should not be taken as a representation that such trends or activities will continue in the future. The information contained in this Announcement is subject to change without notice and, except as required by applicable law, neither the Company nor the </w:t>
      </w:r>
      <w:r w:rsidR="00EB51E4">
        <w:rPr>
          <w:rFonts w:cs="Arial"/>
        </w:rPr>
        <w:t>Banks</w:t>
      </w:r>
      <w:r w:rsidRPr="008464A6">
        <w:rPr>
          <w:rFonts w:cs="Arial"/>
        </w:rPr>
        <w:t xml:space="preserve"> assume any responsibility or obligation to update publicly or review any of the forward-looking statements contained herein. You should not place undue reliance on forward-looking statements, which speak only as of the date of this Announcement. No statement in this Announcement is or is intended to be a profit forecast or profit estimate or to imply that the earnings of the Company for the current or future financial years will necessarily match or exceed the historical or published earnings of the Company. </w:t>
      </w:r>
    </w:p>
    <w:p w:rsidR="00791D55" w:rsidP="00791D55" w:rsidRDefault="00791D55" w14:paraId="63B4A94B" w14:textId="606D9D35">
      <w:pPr>
        <w:pStyle w:val="Normal1"/>
        <w:rPr>
          <w:rFonts w:cs="Arial"/>
          <w:spacing w:val="0"/>
          <w:szCs w:val="20"/>
        </w:rPr>
      </w:pPr>
      <w:r w:rsidRPr="001B2082">
        <w:rPr>
          <w:rFonts w:cs="Arial"/>
          <w:spacing w:val="0"/>
          <w:szCs w:val="20"/>
        </w:rPr>
        <w:lastRenderedPageBreak/>
        <w:t xml:space="preserve">Persons (including, without limitation, nominees and trustees) who have a contractual or other legal obligation to forward a copy of this Announcement should seek appropriate advice before taking any action. </w:t>
      </w:r>
    </w:p>
    <w:p w:rsidR="00BD0B62" w:rsidP="00BD0B62" w:rsidRDefault="00BD0B62" w14:paraId="600C7F9A" w14:textId="46428525">
      <w:pPr>
        <w:pStyle w:val="Normal1"/>
        <w:rPr>
          <w:rFonts w:cs="Arial"/>
          <w:spacing w:val="0"/>
          <w:szCs w:val="20"/>
        </w:rPr>
      </w:pPr>
      <w:r>
        <w:rPr>
          <w:rFonts w:cs="Arial"/>
          <w:spacing w:val="0"/>
          <w:szCs w:val="20"/>
        </w:rPr>
        <w:t xml:space="preserve">In connection with the Placing, each of the </w:t>
      </w:r>
      <w:r w:rsidR="00EB51E4">
        <w:rPr>
          <w:rFonts w:cs="Arial"/>
          <w:spacing w:val="0"/>
          <w:szCs w:val="20"/>
        </w:rPr>
        <w:t xml:space="preserve">Banks </w:t>
      </w:r>
      <w:r>
        <w:rPr>
          <w:rFonts w:cs="Arial"/>
          <w:spacing w:val="0"/>
          <w:szCs w:val="20"/>
        </w:rPr>
        <w:t xml:space="preserve">and any of their affiliates, acting as investors for their own account, may take up a portion of the shares in the Placing as a principal position and in that capacity may retain, purchase, sell, offer to sell for their own accounts such shares and other securities of the Company or related investments in connection with the Placing or otherwise. Accordingly, references to Placing Shares being offered, acquired, placed or otherwise dealt in should be read as including any issue or offer to, or acquisition, placing or dealing by, the </w:t>
      </w:r>
      <w:r w:rsidR="00EB51E4">
        <w:rPr>
          <w:rFonts w:cs="Arial"/>
          <w:spacing w:val="0"/>
          <w:szCs w:val="20"/>
        </w:rPr>
        <w:t xml:space="preserve">Banks </w:t>
      </w:r>
      <w:r>
        <w:rPr>
          <w:rFonts w:cs="Arial"/>
          <w:spacing w:val="0"/>
          <w:szCs w:val="20"/>
        </w:rPr>
        <w:t xml:space="preserve">and any of their affiliates acting in such capacity. In addition, the </w:t>
      </w:r>
      <w:r w:rsidR="00EB51E4">
        <w:rPr>
          <w:rFonts w:cs="Arial"/>
          <w:spacing w:val="0"/>
          <w:szCs w:val="20"/>
        </w:rPr>
        <w:t xml:space="preserve">Banks </w:t>
      </w:r>
      <w:r>
        <w:rPr>
          <w:rFonts w:cs="Arial"/>
          <w:spacing w:val="0"/>
          <w:szCs w:val="20"/>
        </w:rPr>
        <w:t xml:space="preserve">and any of their affiliates may enter into financing arrangements (including swaps) with investors in connection with which the </w:t>
      </w:r>
      <w:r w:rsidR="00EB51E4">
        <w:rPr>
          <w:rFonts w:cs="Arial"/>
          <w:spacing w:val="0"/>
          <w:szCs w:val="20"/>
        </w:rPr>
        <w:t xml:space="preserve">Banks </w:t>
      </w:r>
      <w:r>
        <w:rPr>
          <w:rFonts w:cs="Arial"/>
          <w:spacing w:val="0"/>
          <w:szCs w:val="20"/>
        </w:rPr>
        <w:t xml:space="preserve">and any of their respective affiliates may from time to time acquire, hold or dispose of shares. The </w:t>
      </w:r>
      <w:r w:rsidR="00EB51E4">
        <w:rPr>
          <w:rFonts w:cs="Arial"/>
          <w:spacing w:val="0"/>
          <w:szCs w:val="20"/>
        </w:rPr>
        <w:t>Banks</w:t>
      </w:r>
      <w:r>
        <w:rPr>
          <w:rFonts w:cs="Arial"/>
          <w:spacing w:val="0"/>
          <w:szCs w:val="20"/>
        </w:rPr>
        <w:t xml:space="preserve"> do not intend to disclose the extent of any such investment or transactions otherwise than in accordance with any legal or regulatory obligations to do so.</w:t>
      </w:r>
    </w:p>
    <w:p w:rsidRPr="001B2082" w:rsidR="00791D55" w:rsidP="00791D55" w:rsidRDefault="00791D55" w14:paraId="26606B49" w14:textId="77777777">
      <w:pPr>
        <w:pStyle w:val="Normal1"/>
        <w:rPr>
          <w:rFonts w:cs="Arial"/>
          <w:spacing w:val="0"/>
          <w:szCs w:val="20"/>
        </w:rPr>
      </w:pPr>
      <w:r w:rsidRPr="001B2082">
        <w:rPr>
          <w:rFonts w:cs="Arial"/>
          <w:spacing w:val="0"/>
          <w:szCs w:val="20"/>
        </w:rPr>
        <w:t xml:space="preserve">The most recent Annual Report of the Group </w:t>
      </w:r>
      <w:r w:rsidRPr="001317F4">
        <w:rPr>
          <w:rFonts w:cs="Arial"/>
          <w:spacing w:val="0"/>
          <w:szCs w:val="20"/>
        </w:rPr>
        <w:t xml:space="preserve">(which includes a section entitled “Managing Risks” that describes the risk factors that may affect the Group’s business and financial performance) </w:t>
      </w:r>
      <w:r w:rsidRPr="001B2082">
        <w:rPr>
          <w:rFonts w:cs="Arial"/>
          <w:spacing w:val="0"/>
          <w:szCs w:val="20"/>
        </w:rPr>
        <w:t xml:space="preserve">and other information about the Group are available on the SEGRO website at www.SEGRO.com. Neither the contents of the SEGRO website nor any website accessible by hyperlinks on the SEGRO website is incorporated in, or forms part of, this Announcement. </w:t>
      </w:r>
    </w:p>
    <w:p w:rsidRPr="001B2082" w:rsidR="00791D55" w:rsidP="00791D55" w:rsidRDefault="00791D55" w14:paraId="5C008D8F" w14:textId="77777777">
      <w:pPr>
        <w:pStyle w:val="Normal1"/>
        <w:rPr>
          <w:rFonts w:cs="Arial"/>
          <w:spacing w:val="0"/>
          <w:szCs w:val="20"/>
        </w:rPr>
      </w:pPr>
      <w:r w:rsidRPr="001B2082">
        <w:rPr>
          <w:rFonts w:cs="Arial"/>
          <w:spacing w:val="0"/>
          <w:szCs w:val="20"/>
        </w:rPr>
        <w:t>This Announcement does not constitute a recommendation to acquire any securities of the Company.</w:t>
      </w:r>
    </w:p>
    <w:p w:rsidRPr="001B2082" w:rsidR="00791D55" w:rsidP="00DE0EF5" w:rsidRDefault="00791D55" w14:paraId="1C439013" w14:textId="77777777">
      <w:pPr>
        <w:keepNext/>
        <w:spacing w:after="240" w:line="276" w:lineRule="auto"/>
        <w:rPr>
          <w:rFonts w:cs="Arial"/>
          <w:b/>
        </w:rPr>
      </w:pPr>
      <w:r w:rsidRPr="001B2082">
        <w:rPr>
          <w:rFonts w:cs="Arial"/>
          <w:b/>
        </w:rPr>
        <w:t xml:space="preserve">Information to Distributors </w:t>
      </w:r>
    </w:p>
    <w:p w:rsidRPr="001B2082" w:rsidR="00791D55" w:rsidP="00DE0EF5" w:rsidRDefault="00791D55" w14:paraId="66FAFCAC" w14:textId="1C5993BA">
      <w:pPr>
        <w:keepNext/>
        <w:spacing w:after="240" w:line="276" w:lineRule="auto"/>
        <w:rPr>
          <w:rFonts w:cs="Arial"/>
        </w:rPr>
      </w:pPr>
      <w:r w:rsidRPr="001B2082">
        <w:rPr>
          <w:rFonts w:cs="Arial"/>
        </w:rPr>
        <w:t>Solely for the purposes of the product governance requirements contained within: (i) (a) EU Directive 2014/65/EU on markets in financial instruments, as amended, ("</w:t>
      </w:r>
      <w:r w:rsidRPr="001B2082">
        <w:rPr>
          <w:rFonts w:cs="Arial"/>
          <w:b/>
        </w:rPr>
        <w:t>MiFID II</w:t>
      </w:r>
      <w:r w:rsidRPr="001B2082">
        <w:rPr>
          <w:rFonts w:cs="Arial"/>
        </w:rPr>
        <w:t>"); (b) Articles 9 and 10 of Commission Delegated Directive (EU) 2017/593 supplementing MiFID II; and (c) local implementing measures (together, the "</w:t>
      </w:r>
      <w:r w:rsidRPr="001B2082">
        <w:rPr>
          <w:rFonts w:cs="Arial"/>
          <w:b/>
        </w:rPr>
        <w:t>MiFID II Product Governance Requirements</w:t>
      </w:r>
      <w:r w:rsidRPr="001B2082">
        <w:rPr>
          <w:rFonts w:cs="Arial"/>
        </w:rPr>
        <w:t>"); and (ii) the FCA Handbook Product Intervention and Product Governance Sourcebook (the “</w:t>
      </w:r>
      <w:r w:rsidRPr="001B2082">
        <w:rPr>
          <w:rFonts w:cs="Arial"/>
          <w:b/>
        </w:rPr>
        <w:t>UK Product Governance Requirements</w:t>
      </w:r>
      <w:r w:rsidRPr="001B2082">
        <w:rPr>
          <w:rFonts w:cs="Arial"/>
        </w:rPr>
        <w:t>” and together with the MiFID II Product Governance Requirements, the “</w:t>
      </w:r>
      <w:r w:rsidRPr="001B2082">
        <w:rPr>
          <w:rFonts w:cs="Arial"/>
          <w:b/>
        </w:rPr>
        <w:t>Product Governance Requirements</w:t>
      </w:r>
      <w:r w:rsidRPr="001B2082">
        <w:rPr>
          <w:rFonts w:cs="Arial"/>
        </w:rPr>
        <w:t>”), and disclaiming all and any liability, whether arising in tort, contract or otherwise, which any "manufacturer" (for the purposes of the Product Governance Requirements) may otherwise have with respect thereto, the Placing Shares have been subject to a product approval process, which has determined that such Placing Shares are: (i) compatible with an end target market of retail investors and investors who meet the criteria of professional clients and eligible counterparties, each as defined in MiFID II or the FCA Handbook Conduct of Business Sourcebook (as applicable); and (ii) eligible for distribution through all distribution channels as are permitted by MiFID II or the FCA Handbook Product Intervention and Product Governance Sourcebook (as applicable) (the "</w:t>
      </w:r>
      <w:r w:rsidRPr="001B2082">
        <w:rPr>
          <w:rFonts w:cs="Arial"/>
          <w:b/>
        </w:rPr>
        <w:t>Target Market Assessment</w:t>
      </w:r>
      <w:r w:rsidRPr="001B2082">
        <w:rPr>
          <w:rFonts w:cs="Arial"/>
        </w:rPr>
        <w:t xml:space="preserve">"). Notwithstanding the Target Market Assessment, Distributors (for the purposes of the Product Governance Requirements) should note that: the price of the Placing Shares may decline and investors could lose all or part of their investment; the Placing Shares offer no guaranteed income and no capital protection; and an investment in the Placing Shares is compatible only with investors who do not need a guaranteed income or capital protection, who (either alone or in conjunction with an appropriate financial or other adviser) are capable of evaluating the merits and risks of such an investment and who have sufficient resources to be able to bear any losses that may result therefrom. The Target Market Assessment is without prejudice to the requirements of any contractual, legal or regulatory selling restrictions in relation to the Placing. Furthermore, it is noted that, notwithstanding the Target Market Assessment, </w:t>
      </w:r>
      <w:r w:rsidRPr="008B47C4">
        <w:rPr>
          <w:rFonts w:cs="Arial"/>
        </w:rPr>
        <w:t>Morgan Stanley &amp; Co</w:t>
      </w:r>
      <w:r w:rsidR="00CD6C4C">
        <w:rPr>
          <w:rFonts w:cs="Arial"/>
        </w:rPr>
        <w:t>.</w:t>
      </w:r>
      <w:r w:rsidRPr="008B47C4">
        <w:rPr>
          <w:rFonts w:cs="Arial"/>
        </w:rPr>
        <w:t xml:space="preserve"> International plc</w:t>
      </w:r>
      <w:r w:rsidRPr="001B2082">
        <w:rPr>
          <w:rFonts w:cs="Arial"/>
        </w:rPr>
        <w:t xml:space="preserve"> and UBS AG London Branch will only procure investors who meet the criteria of professional clients and eligible counterparties.</w:t>
      </w:r>
    </w:p>
    <w:p w:rsidRPr="001B2082" w:rsidR="00791D55" w:rsidP="00791D55" w:rsidRDefault="00791D55" w14:paraId="45BC2F2C" w14:textId="77777777">
      <w:pPr>
        <w:spacing w:after="240" w:line="276" w:lineRule="auto"/>
        <w:rPr>
          <w:rFonts w:cs="Arial"/>
        </w:rPr>
      </w:pPr>
      <w:r w:rsidRPr="001B2082">
        <w:rPr>
          <w:rFonts w:cs="Arial"/>
        </w:rPr>
        <w:t>For the avoidance of doubt, the Target Market Assessment does not constitute: (a) an assessment of suitability or appropriateness for the purposes of MiFID II or the FCA Conduct of Business Sourcebook; or (b) a recommendation to any investor or group of investors to invest in, or purchase, or take any other action whatsoever with respect to the Placing Shares.</w:t>
      </w:r>
    </w:p>
    <w:p w:rsidR="00791D55" w:rsidP="00583219" w:rsidRDefault="00791D55" w14:paraId="3A06F439" w14:textId="3154B1F4">
      <w:pPr>
        <w:pStyle w:val="Normal1"/>
        <w:rPr>
          <w:rFonts w:cs="Arial"/>
          <w:spacing w:val="0"/>
          <w:szCs w:val="20"/>
        </w:rPr>
      </w:pPr>
      <w:r w:rsidRPr="001B2082">
        <w:rPr>
          <w:rFonts w:cs="Arial"/>
        </w:rPr>
        <w:t>Each distributor is responsible for undertaking its own target market assessment in respect of the Placing Shares and determining appropriate distribution channels.</w:t>
      </w:r>
    </w:p>
    <w:sectPr w:rsidR="00791D55" w:rsidSect="007877B4">
      <w:headerReference w:type="even" r:id="rId9"/>
      <w:headerReference w:type="default" r:id="rId10"/>
      <w:footerReference w:type="even" r:id="rId11"/>
      <w:footerReference w:type="default" r:id="rId12"/>
      <w:headerReference w:type="first" r:id="rId13"/>
      <w:footerReference w:type="first" r:id="rId14"/>
      <w:footnotePr>
        <w:pos w:val="beneathText"/>
      </w:footnotePr>
      <w:type w:val="continuous"/>
      <w:pgSz w:w="11907" w:h="16840" w:code="9"/>
      <w:pgMar w:top="851" w:right="992" w:bottom="851" w:left="992" w:header="720" w:footer="720"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51FE6" w:rsidRDefault="00551FE6" w14:paraId="7DF39C5D" w14:textId="77777777">
      <w:r>
        <w:separator/>
      </w:r>
    </w:p>
  </w:endnote>
  <w:endnote w:type="continuationSeparator" w:id="0">
    <w:p w:rsidR="00551FE6" w:rsidRDefault="00551FE6" w14:paraId="135A87F1"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Delta BQ Medium">
    <w:altName w:val="Calibri"/>
    <w:panose1 w:val="00000000000000000000"/>
    <w:charset w:val="00"/>
    <w:family w:val="modern"/>
    <w:notTrueType/>
    <w:pitch w:val="variable"/>
    <w:sig w:usb0="8000002F" w:usb1="4000004A" w:usb2="00000000" w:usb3="00000000" w:csb0="00000001" w:csb1="00000000"/>
  </w:font>
  <w:font w:name="Delta BQ Light">
    <w:altName w:val="Calibri"/>
    <w:panose1 w:val="00000000000000000000"/>
    <w:charset w:val="00"/>
    <w:family w:val="modern"/>
    <w:notTrueType/>
    <w:pitch w:val="variable"/>
    <w:sig w:usb0="8000002F" w:usb1="4000004A" w:usb2="00000000" w:usb3="00000000" w:csb0="00000001" w:csb1="00000000"/>
  </w:font>
  <w:font w:name="Delta BQ Book">
    <w:panose1 w:val="00000000000000000000"/>
    <w:charset w:val="00"/>
    <w:family w:val="modern"/>
    <w:notTrueType/>
    <w:pitch w:val="variable"/>
    <w:sig w:usb0="8000002F" w:usb1="4000004A"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83219" w:rsidP="00583219" w:rsidRDefault="00583219" w14:paraId="5F356A4F" w14:textId="77777777">
    <w:pPr>
      <w:pStyle w:val="Footer"/>
      <w:framePr w:wrap="around" w:hAnchor="margin" w:vAnchor="text"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583219" w:rsidP="00583219" w:rsidRDefault="00583219" w14:paraId="1F3C54A2" w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F28AD" w:rsidRDefault="00BF28AD" w14:paraId="1A503B3C"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F28AD" w:rsidRDefault="00BF28AD" w14:paraId="2D277A55"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51FE6" w:rsidRDefault="00551FE6" w14:paraId="76D2C222" w14:textId="77777777">
      <w:r>
        <w:separator/>
      </w:r>
    </w:p>
  </w:footnote>
  <w:footnote w:type="continuationSeparator" w:id="0">
    <w:p w:rsidR="00551FE6" w:rsidRDefault="00551FE6" w14:paraId="41C2B14D"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F28AD" w:rsidRDefault="00BF28AD" w14:paraId="42FE6B4E"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F28AD" w:rsidRDefault="00BF28AD" w14:paraId="5CA7C498"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F28AD" w:rsidRDefault="00BF28AD" w14:paraId="13A690C9"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466FCA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ED083D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5D297C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C92AE6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F5AD1C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8608CF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9DEAE7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452D4A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77858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53EFDE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6765E49"/>
    <w:multiLevelType w:val="hybridMultilevel"/>
    <w:tmpl w:val="CCF420C0"/>
    <w:lvl w:ilvl="0" w:tplc="27D45D82">
      <w:start w:val="1"/>
      <w:numFmt w:val="decimal"/>
      <w:lvlText w:val="%1)"/>
      <w:lvlJc w:val="left"/>
      <w:pPr>
        <w:ind w:left="720" w:hanging="360"/>
      </w:pPr>
    </w:lvl>
    <w:lvl w:ilvl="1" w:tplc="CB200C8E" w:tentative="1">
      <w:start w:val="1"/>
      <w:numFmt w:val="lowerLetter"/>
      <w:lvlText w:val="%2."/>
      <w:lvlJc w:val="left"/>
      <w:pPr>
        <w:ind w:left="1440" w:hanging="360"/>
      </w:pPr>
    </w:lvl>
    <w:lvl w:ilvl="2" w:tplc="162C182A" w:tentative="1">
      <w:start w:val="1"/>
      <w:numFmt w:val="lowerRoman"/>
      <w:lvlText w:val="%3."/>
      <w:lvlJc w:val="right"/>
      <w:pPr>
        <w:ind w:left="2160" w:hanging="180"/>
      </w:pPr>
    </w:lvl>
    <w:lvl w:ilvl="3" w:tplc="429E104C" w:tentative="1">
      <w:start w:val="1"/>
      <w:numFmt w:val="decimal"/>
      <w:lvlText w:val="%4."/>
      <w:lvlJc w:val="left"/>
      <w:pPr>
        <w:ind w:left="2880" w:hanging="360"/>
      </w:pPr>
    </w:lvl>
    <w:lvl w:ilvl="4" w:tplc="A65CC67E" w:tentative="1">
      <w:start w:val="1"/>
      <w:numFmt w:val="lowerLetter"/>
      <w:lvlText w:val="%5."/>
      <w:lvlJc w:val="left"/>
      <w:pPr>
        <w:ind w:left="3600" w:hanging="360"/>
      </w:pPr>
    </w:lvl>
    <w:lvl w:ilvl="5" w:tplc="6E96C8CA" w:tentative="1">
      <w:start w:val="1"/>
      <w:numFmt w:val="lowerRoman"/>
      <w:lvlText w:val="%6."/>
      <w:lvlJc w:val="right"/>
      <w:pPr>
        <w:ind w:left="4320" w:hanging="180"/>
      </w:pPr>
    </w:lvl>
    <w:lvl w:ilvl="6" w:tplc="92FAEA90" w:tentative="1">
      <w:start w:val="1"/>
      <w:numFmt w:val="decimal"/>
      <w:lvlText w:val="%7."/>
      <w:lvlJc w:val="left"/>
      <w:pPr>
        <w:ind w:left="5040" w:hanging="360"/>
      </w:pPr>
    </w:lvl>
    <w:lvl w:ilvl="7" w:tplc="4AC272D0" w:tentative="1">
      <w:start w:val="1"/>
      <w:numFmt w:val="lowerLetter"/>
      <w:lvlText w:val="%8."/>
      <w:lvlJc w:val="left"/>
      <w:pPr>
        <w:ind w:left="5760" w:hanging="360"/>
      </w:pPr>
    </w:lvl>
    <w:lvl w:ilvl="8" w:tplc="0A5CAD02" w:tentative="1">
      <w:start w:val="1"/>
      <w:numFmt w:val="lowerRoman"/>
      <w:lvlText w:val="%9."/>
      <w:lvlJc w:val="right"/>
      <w:pPr>
        <w:ind w:left="6480" w:hanging="180"/>
      </w:pPr>
    </w:lvl>
  </w:abstractNum>
  <w:abstractNum w:abstractNumId="11" w15:restartNumberingAfterBreak="0">
    <w:nsid w:val="1D1B45EF"/>
    <w:multiLevelType w:val="hybridMultilevel"/>
    <w:tmpl w:val="365CC5C8"/>
    <w:lvl w:ilvl="0" w:tplc="350A4056">
      <w:start w:val="1"/>
      <w:numFmt w:val="decimal"/>
      <w:lvlText w:val="%1)"/>
      <w:lvlJc w:val="left"/>
      <w:pPr>
        <w:ind w:left="360" w:hanging="360"/>
      </w:pPr>
      <w:rPr>
        <w:rFonts w:hint="default"/>
      </w:rPr>
    </w:lvl>
    <w:lvl w:ilvl="1" w:tplc="8D8C96F6">
      <w:start w:val="1"/>
      <w:numFmt w:val="lowerLetter"/>
      <w:lvlText w:val="%2."/>
      <w:lvlJc w:val="left"/>
      <w:pPr>
        <w:ind w:left="1080" w:hanging="360"/>
      </w:pPr>
    </w:lvl>
    <w:lvl w:ilvl="2" w:tplc="D494AA9E">
      <w:start w:val="1"/>
      <w:numFmt w:val="lowerRoman"/>
      <w:lvlText w:val="%3."/>
      <w:lvlJc w:val="right"/>
      <w:pPr>
        <w:ind w:left="1800" w:hanging="180"/>
      </w:pPr>
    </w:lvl>
    <w:lvl w:ilvl="3" w:tplc="ED56995C" w:tentative="1">
      <w:start w:val="1"/>
      <w:numFmt w:val="decimal"/>
      <w:lvlText w:val="%4."/>
      <w:lvlJc w:val="left"/>
      <w:pPr>
        <w:ind w:left="2520" w:hanging="360"/>
      </w:pPr>
    </w:lvl>
    <w:lvl w:ilvl="4" w:tplc="C5E21A76" w:tentative="1">
      <w:start w:val="1"/>
      <w:numFmt w:val="lowerLetter"/>
      <w:lvlText w:val="%5."/>
      <w:lvlJc w:val="left"/>
      <w:pPr>
        <w:ind w:left="3240" w:hanging="360"/>
      </w:pPr>
    </w:lvl>
    <w:lvl w:ilvl="5" w:tplc="87CE7A1E" w:tentative="1">
      <w:start w:val="1"/>
      <w:numFmt w:val="lowerRoman"/>
      <w:lvlText w:val="%6."/>
      <w:lvlJc w:val="right"/>
      <w:pPr>
        <w:ind w:left="3960" w:hanging="180"/>
      </w:pPr>
    </w:lvl>
    <w:lvl w:ilvl="6" w:tplc="37E8068C" w:tentative="1">
      <w:start w:val="1"/>
      <w:numFmt w:val="decimal"/>
      <w:lvlText w:val="%7."/>
      <w:lvlJc w:val="left"/>
      <w:pPr>
        <w:ind w:left="4680" w:hanging="360"/>
      </w:pPr>
    </w:lvl>
    <w:lvl w:ilvl="7" w:tplc="85023CF2" w:tentative="1">
      <w:start w:val="1"/>
      <w:numFmt w:val="lowerLetter"/>
      <w:lvlText w:val="%8."/>
      <w:lvlJc w:val="left"/>
      <w:pPr>
        <w:ind w:left="5400" w:hanging="360"/>
      </w:pPr>
    </w:lvl>
    <w:lvl w:ilvl="8" w:tplc="64C68BDC" w:tentative="1">
      <w:start w:val="1"/>
      <w:numFmt w:val="lowerRoman"/>
      <w:lvlText w:val="%9."/>
      <w:lvlJc w:val="right"/>
      <w:pPr>
        <w:ind w:left="6120" w:hanging="180"/>
      </w:pPr>
    </w:lvl>
  </w:abstractNum>
  <w:abstractNum w:abstractNumId="12" w15:restartNumberingAfterBreak="0">
    <w:nsid w:val="273D0A9C"/>
    <w:multiLevelType w:val="hybridMultilevel"/>
    <w:tmpl w:val="51EE703A"/>
    <w:lvl w:ilvl="0" w:tplc="8B32794C">
      <w:start w:val="1"/>
      <w:numFmt w:val="bullet"/>
      <w:lvlText w:val=""/>
      <w:lvlJc w:val="left"/>
      <w:pPr>
        <w:ind w:left="720" w:hanging="360"/>
      </w:pPr>
      <w:rPr>
        <w:rFonts w:ascii="Symbol" w:hAnsi="Symbol" w:hint="default"/>
      </w:rPr>
    </w:lvl>
    <w:lvl w:ilvl="1" w:tplc="E3F48A52" w:tentative="1">
      <w:start w:val="1"/>
      <w:numFmt w:val="bullet"/>
      <w:lvlText w:val="o"/>
      <w:lvlJc w:val="left"/>
      <w:pPr>
        <w:ind w:left="1440" w:hanging="360"/>
      </w:pPr>
      <w:rPr>
        <w:rFonts w:ascii="Courier New" w:hAnsi="Courier New" w:cs="Courier New" w:hint="default"/>
      </w:rPr>
    </w:lvl>
    <w:lvl w:ilvl="2" w:tplc="DFAAF74A" w:tentative="1">
      <w:start w:val="1"/>
      <w:numFmt w:val="bullet"/>
      <w:lvlText w:val=""/>
      <w:lvlJc w:val="left"/>
      <w:pPr>
        <w:ind w:left="2160" w:hanging="360"/>
      </w:pPr>
      <w:rPr>
        <w:rFonts w:ascii="Wingdings" w:hAnsi="Wingdings" w:hint="default"/>
      </w:rPr>
    </w:lvl>
    <w:lvl w:ilvl="3" w:tplc="84E85C7C" w:tentative="1">
      <w:start w:val="1"/>
      <w:numFmt w:val="bullet"/>
      <w:lvlText w:val=""/>
      <w:lvlJc w:val="left"/>
      <w:pPr>
        <w:ind w:left="2880" w:hanging="360"/>
      </w:pPr>
      <w:rPr>
        <w:rFonts w:ascii="Symbol" w:hAnsi="Symbol" w:hint="default"/>
      </w:rPr>
    </w:lvl>
    <w:lvl w:ilvl="4" w:tplc="81A66552" w:tentative="1">
      <w:start w:val="1"/>
      <w:numFmt w:val="bullet"/>
      <w:lvlText w:val="o"/>
      <w:lvlJc w:val="left"/>
      <w:pPr>
        <w:ind w:left="3600" w:hanging="360"/>
      </w:pPr>
      <w:rPr>
        <w:rFonts w:ascii="Courier New" w:hAnsi="Courier New" w:cs="Courier New" w:hint="default"/>
      </w:rPr>
    </w:lvl>
    <w:lvl w:ilvl="5" w:tplc="5DB08E66" w:tentative="1">
      <w:start w:val="1"/>
      <w:numFmt w:val="bullet"/>
      <w:lvlText w:val=""/>
      <w:lvlJc w:val="left"/>
      <w:pPr>
        <w:ind w:left="4320" w:hanging="360"/>
      </w:pPr>
      <w:rPr>
        <w:rFonts w:ascii="Wingdings" w:hAnsi="Wingdings" w:hint="default"/>
      </w:rPr>
    </w:lvl>
    <w:lvl w:ilvl="6" w:tplc="66E03882" w:tentative="1">
      <w:start w:val="1"/>
      <w:numFmt w:val="bullet"/>
      <w:lvlText w:val=""/>
      <w:lvlJc w:val="left"/>
      <w:pPr>
        <w:ind w:left="5040" w:hanging="360"/>
      </w:pPr>
      <w:rPr>
        <w:rFonts w:ascii="Symbol" w:hAnsi="Symbol" w:hint="default"/>
      </w:rPr>
    </w:lvl>
    <w:lvl w:ilvl="7" w:tplc="37485098" w:tentative="1">
      <w:start w:val="1"/>
      <w:numFmt w:val="bullet"/>
      <w:lvlText w:val="o"/>
      <w:lvlJc w:val="left"/>
      <w:pPr>
        <w:ind w:left="5760" w:hanging="360"/>
      </w:pPr>
      <w:rPr>
        <w:rFonts w:ascii="Courier New" w:hAnsi="Courier New" w:cs="Courier New" w:hint="default"/>
      </w:rPr>
    </w:lvl>
    <w:lvl w:ilvl="8" w:tplc="6E427A5A" w:tentative="1">
      <w:start w:val="1"/>
      <w:numFmt w:val="bullet"/>
      <w:lvlText w:val=""/>
      <w:lvlJc w:val="left"/>
      <w:pPr>
        <w:ind w:left="6480" w:hanging="360"/>
      </w:pPr>
      <w:rPr>
        <w:rFonts w:ascii="Wingdings" w:hAnsi="Wingdings" w:hint="default"/>
      </w:rPr>
    </w:lvl>
  </w:abstractNum>
  <w:abstractNum w:abstractNumId="13" w15:restartNumberingAfterBreak="0">
    <w:nsid w:val="2B4C33E5"/>
    <w:multiLevelType w:val="hybridMultilevel"/>
    <w:tmpl w:val="230E4A12"/>
    <w:lvl w:ilvl="0" w:tplc="9174B7C0">
      <w:start w:val="1"/>
      <w:numFmt w:val="bullet"/>
      <w:lvlText w:val=""/>
      <w:lvlJc w:val="left"/>
      <w:pPr>
        <w:ind w:left="720" w:hanging="360"/>
      </w:pPr>
      <w:rPr>
        <w:rFonts w:ascii="Symbol" w:hAnsi="Symbol" w:hint="default"/>
      </w:rPr>
    </w:lvl>
    <w:lvl w:ilvl="1" w:tplc="EF10CE70" w:tentative="1">
      <w:start w:val="1"/>
      <w:numFmt w:val="bullet"/>
      <w:lvlText w:val="o"/>
      <w:lvlJc w:val="left"/>
      <w:pPr>
        <w:ind w:left="1440" w:hanging="360"/>
      </w:pPr>
      <w:rPr>
        <w:rFonts w:ascii="Courier New" w:hAnsi="Courier New" w:cs="Courier New" w:hint="default"/>
      </w:rPr>
    </w:lvl>
    <w:lvl w:ilvl="2" w:tplc="43F439F4" w:tentative="1">
      <w:start w:val="1"/>
      <w:numFmt w:val="bullet"/>
      <w:lvlText w:val=""/>
      <w:lvlJc w:val="left"/>
      <w:pPr>
        <w:ind w:left="2160" w:hanging="360"/>
      </w:pPr>
      <w:rPr>
        <w:rFonts w:ascii="Wingdings" w:hAnsi="Wingdings" w:hint="default"/>
      </w:rPr>
    </w:lvl>
    <w:lvl w:ilvl="3" w:tplc="920E8C56" w:tentative="1">
      <w:start w:val="1"/>
      <w:numFmt w:val="bullet"/>
      <w:lvlText w:val=""/>
      <w:lvlJc w:val="left"/>
      <w:pPr>
        <w:ind w:left="2880" w:hanging="360"/>
      </w:pPr>
      <w:rPr>
        <w:rFonts w:ascii="Symbol" w:hAnsi="Symbol" w:hint="default"/>
      </w:rPr>
    </w:lvl>
    <w:lvl w:ilvl="4" w:tplc="56BCFCE2" w:tentative="1">
      <w:start w:val="1"/>
      <w:numFmt w:val="bullet"/>
      <w:lvlText w:val="o"/>
      <w:lvlJc w:val="left"/>
      <w:pPr>
        <w:ind w:left="3600" w:hanging="360"/>
      </w:pPr>
      <w:rPr>
        <w:rFonts w:ascii="Courier New" w:hAnsi="Courier New" w:cs="Courier New" w:hint="default"/>
      </w:rPr>
    </w:lvl>
    <w:lvl w:ilvl="5" w:tplc="01FED97E" w:tentative="1">
      <w:start w:val="1"/>
      <w:numFmt w:val="bullet"/>
      <w:lvlText w:val=""/>
      <w:lvlJc w:val="left"/>
      <w:pPr>
        <w:ind w:left="4320" w:hanging="360"/>
      </w:pPr>
      <w:rPr>
        <w:rFonts w:ascii="Wingdings" w:hAnsi="Wingdings" w:hint="default"/>
      </w:rPr>
    </w:lvl>
    <w:lvl w:ilvl="6" w:tplc="2F089B14" w:tentative="1">
      <w:start w:val="1"/>
      <w:numFmt w:val="bullet"/>
      <w:lvlText w:val=""/>
      <w:lvlJc w:val="left"/>
      <w:pPr>
        <w:ind w:left="5040" w:hanging="360"/>
      </w:pPr>
      <w:rPr>
        <w:rFonts w:ascii="Symbol" w:hAnsi="Symbol" w:hint="default"/>
      </w:rPr>
    </w:lvl>
    <w:lvl w:ilvl="7" w:tplc="D92E49B0" w:tentative="1">
      <w:start w:val="1"/>
      <w:numFmt w:val="bullet"/>
      <w:lvlText w:val="o"/>
      <w:lvlJc w:val="left"/>
      <w:pPr>
        <w:ind w:left="5760" w:hanging="360"/>
      </w:pPr>
      <w:rPr>
        <w:rFonts w:ascii="Courier New" w:hAnsi="Courier New" w:cs="Courier New" w:hint="default"/>
      </w:rPr>
    </w:lvl>
    <w:lvl w:ilvl="8" w:tplc="46126D44" w:tentative="1">
      <w:start w:val="1"/>
      <w:numFmt w:val="bullet"/>
      <w:lvlText w:val=""/>
      <w:lvlJc w:val="left"/>
      <w:pPr>
        <w:ind w:left="6480" w:hanging="360"/>
      </w:pPr>
      <w:rPr>
        <w:rFonts w:ascii="Wingdings" w:hAnsi="Wingdings" w:hint="default"/>
      </w:rPr>
    </w:lvl>
  </w:abstractNum>
  <w:abstractNum w:abstractNumId="14" w15:restartNumberingAfterBreak="0">
    <w:nsid w:val="2E6A4747"/>
    <w:multiLevelType w:val="hybridMultilevel"/>
    <w:tmpl w:val="4A9EDCBA"/>
    <w:lvl w:ilvl="0" w:tplc="EDD008F4">
      <w:start w:val="1"/>
      <w:numFmt w:val="lowerLetter"/>
      <w:lvlText w:val="%1)"/>
      <w:lvlJc w:val="left"/>
      <w:pPr>
        <w:ind w:left="720" w:hanging="360"/>
      </w:pPr>
    </w:lvl>
    <w:lvl w:ilvl="1" w:tplc="B2C49352" w:tentative="1">
      <w:start w:val="1"/>
      <w:numFmt w:val="lowerLetter"/>
      <w:lvlText w:val="%2."/>
      <w:lvlJc w:val="left"/>
      <w:pPr>
        <w:ind w:left="1440" w:hanging="360"/>
      </w:pPr>
    </w:lvl>
    <w:lvl w:ilvl="2" w:tplc="26F85028" w:tentative="1">
      <w:start w:val="1"/>
      <w:numFmt w:val="lowerRoman"/>
      <w:lvlText w:val="%3."/>
      <w:lvlJc w:val="right"/>
      <w:pPr>
        <w:ind w:left="2160" w:hanging="180"/>
      </w:pPr>
    </w:lvl>
    <w:lvl w:ilvl="3" w:tplc="9036080C" w:tentative="1">
      <w:start w:val="1"/>
      <w:numFmt w:val="decimal"/>
      <w:lvlText w:val="%4."/>
      <w:lvlJc w:val="left"/>
      <w:pPr>
        <w:ind w:left="2880" w:hanging="360"/>
      </w:pPr>
    </w:lvl>
    <w:lvl w:ilvl="4" w:tplc="0C649C1A" w:tentative="1">
      <w:start w:val="1"/>
      <w:numFmt w:val="lowerLetter"/>
      <w:lvlText w:val="%5."/>
      <w:lvlJc w:val="left"/>
      <w:pPr>
        <w:ind w:left="3600" w:hanging="360"/>
      </w:pPr>
    </w:lvl>
    <w:lvl w:ilvl="5" w:tplc="3F0AB05C" w:tentative="1">
      <w:start w:val="1"/>
      <w:numFmt w:val="lowerRoman"/>
      <w:lvlText w:val="%6."/>
      <w:lvlJc w:val="right"/>
      <w:pPr>
        <w:ind w:left="4320" w:hanging="180"/>
      </w:pPr>
    </w:lvl>
    <w:lvl w:ilvl="6" w:tplc="3AEE4960" w:tentative="1">
      <w:start w:val="1"/>
      <w:numFmt w:val="decimal"/>
      <w:lvlText w:val="%7."/>
      <w:lvlJc w:val="left"/>
      <w:pPr>
        <w:ind w:left="5040" w:hanging="360"/>
      </w:pPr>
    </w:lvl>
    <w:lvl w:ilvl="7" w:tplc="729AF344" w:tentative="1">
      <w:start w:val="1"/>
      <w:numFmt w:val="lowerLetter"/>
      <w:lvlText w:val="%8."/>
      <w:lvlJc w:val="left"/>
      <w:pPr>
        <w:ind w:left="5760" w:hanging="360"/>
      </w:pPr>
    </w:lvl>
    <w:lvl w:ilvl="8" w:tplc="30F0EC98" w:tentative="1">
      <w:start w:val="1"/>
      <w:numFmt w:val="lowerRoman"/>
      <w:lvlText w:val="%9."/>
      <w:lvlJc w:val="right"/>
      <w:pPr>
        <w:ind w:left="6480" w:hanging="180"/>
      </w:pPr>
    </w:lvl>
  </w:abstractNum>
  <w:abstractNum w:abstractNumId="15" w15:restartNumberingAfterBreak="0">
    <w:nsid w:val="375B6CFB"/>
    <w:multiLevelType w:val="hybridMultilevel"/>
    <w:tmpl w:val="4C12E4F2"/>
    <w:lvl w:ilvl="0" w:tplc="63EE41FA">
      <w:start w:val="1"/>
      <w:numFmt w:val="bullet"/>
      <w:lvlText w:val=""/>
      <w:lvlJc w:val="left"/>
      <w:pPr>
        <w:ind w:left="720" w:hanging="360"/>
      </w:pPr>
      <w:rPr>
        <w:rFonts w:ascii="Symbol" w:hAnsi="Symbol" w:hint="default"/>
      </w:rPr>
    </w:lvl>
    <w:lvl w:ilvl="1" w:tplc="83FA6C2C" w:tentative="1">
      <w:start w:val="1"/>
      <w:numFmt w:val="bullet"/>
      <w:lvlText w:val="o"/>
      <w:lvlJc w:val="left"/>
      <w:pPr>
        <w:ind w:left="1440" w:hanging="360"/>
      </w:pPr>
      <w:rPr>
        <w:rFonts w:ascii="Courier New" w:hAnsi="Courier New" w:cs="Courier New" w:hint="default"/>
      </w:rPr>
    </w:lvl>
    <w:lvl w:ilvl="2" w:tplc="2D789D06" w:tentative="1">
      <w:start w:val="1"/>
      <w:numFmt w:val="bullet"/>
      <w:lvlText w:val=""/>
      <w:lvlJc w:val="left"/>
      <w:pPr>
        <w:ind w:left="2160" w:hanging="360"/>
      </w:pPr>
      <w:rPr>
        <w:rFonts w:ascii="Wingdings" w:hAnsi="Wingdings" w:hint="default"/>
      </w:rPr>
    </w:lvl>
    <w:lvl w:ilvl="3" w:tplc="9BA0E050" w:tentative="1">
      <w:start w:val="1"/>
      <w:numFmt w:val="bullet"/>
      <w:lvlText w:val=""/>
      <w:lvlJc w:val="left"/>
      <w:pPr>
        <w:ind w:left="2880" w:hanging="360"/>
      </w:pPr>
      <w:rPr>
        <w:rFonts w:ascii="Symbol" w:hAnsi="Symbol" w:hint="default"/>
      </w:rPr>
    </w:lvl>
    <w:lvl w:ilvl="4" w:tplc="ED6E5BEE" w:tentative="1">
      <w:start w:val="1"/>
      <w:numFmt w:val="bullet"/>
      <w:lvlText w:val="o"/>
      <w:lvlJc w:val="left"/>
      <w:pPr>
        <w:ind w:left="3600" w:hanging="360"/>
      </w:pPr>
      <w:rPr>
        <w:rFonts w:ascii="Courier New" w:hAnsi="Courier New" w:cs="Courier New" w:hint="default"/>
      </w:rPr>
    </w:lvl>
    <w:lvl w:ilvl="5" w:tplc="42588F9C" w:tentative="1">
      <w:start w:val="1"/>
      <w:numFmt w:val="bullet"/>
      <w:lvlText w:val=""/>
      <w:lvlJc w:val="left"/>
      <w:pPr>
        <w:ind w:left="4320" w:hanging="360"/>
      </w:pPr>
      <w:rPr>
        <w:rFonts w:ascii="Wingdings" w:hAnsi="Wingdings" w:hint="default"/>
      </w:rPr>
    </w:lvl>
    <w:lvl w:ilvl="6" w:tplc="F4F04F88" w:tentative="1">
      <w:start w:val="1"/>
      <w:numFmt w:val="bullet"/>
      <w:lvlText w:val=""/>
      <w:lvlJc w:val="left"/>
      <w:pPr>
        <w:ind w:left="5040" w:hanging="360"/>
      </w:pPr>
      <w:rPr>
        <w:rFonts w:ascii="Symbol" w:hAnsi="Symbol" w:hint="default"/>
      </w:rPr>
    </w:lvl>
    <w:lvl w:ilvl="7" w:tplc="74544BD0" w:tentative="1">
      <w:start w:val="1"/>
      <w:numFmt w:val="bullet"/>
      <w:lvlText w:val="o"/>
      <w:lvlJc w:val="left"/>
      <w:pPr>
        <w:ind w:left="5760" w:hanging="360"/>
      </w:pPr>
      <w:rPr>
        <w:rFonts w:ascii="Courier New" w:hAnsi="Courier New" w:cs="Courier New" w:hint="default"/>
      </w:rPr>
    </w:lvl>
    <w:lvl w:ilvl="8" w:tplc="B852B10E" w:tentative="1">
      <w:start w:val="1"/>
      <w:numFmt w:val="bullet"/>
      <w:lvlText w:val=""/>
      <w:lvlJc w:val="left"/>
      <w:pPr>
        <w:ind w:left="6480" w:hanging="360"/>
      </w:pPr>
      <w:rPr>
        <w:rFonts w:ascii="Wingdings" w:hAnsi="Wingdings" w:hint="default"/>
      </w:rPr>
    </w:lvl>
  </w:abstractNum>
  <w:abstractNum w:abstractNumId="16" w15:restartNumberingAfterBreak="0">
    <w:nsid w:val="39A51C33"/>
    <w:multiLevelType w:val="hybridMultilevel"/>
    <w:tmpl w:val="2C6EE42C"/>
    <w:lvl w:ilvl="0" w:tplc="992CD00C">
      <w:start w:val="1"/>
      <w:numFmt w:val="lowerLetter"/>
      <w:lvlText w:val="%1)"/>
      <w:lvlJc w:val="left"/>
      <w:pPr>
        <w:ind w:left="720" w:hanging="360"/>
      </w:pPr>
      <w:rPr>
        <w:rFonts w:hint="default"/>
      </w:rPr>
    </w:lvl>
    <w:lvl w:ilvl="1" w:tplc="10C4AD66" w:tentative="1">
      <w:start w:val="1"/>
      <w:numFmt w:val="lowerLetter"/>
      <w:lvlText w:val="%2."/>
      <w:lvlJc w:val="left"/>
      <w:pPr>
        <w:ind w:left="1440" w:hanging="360"/>
      </w:pPr>
    </w:lvl>
    <w:lvl w:ilvl="2" w:tplc="D0F4DFB8" w:tentative="1">
      <w:start w:val="1"/>
      <w:numFmt w:val="lowerRoman"/>
      <w:lvlText w:val="%3."/>
      <w:lvlJc w:val="right"/>
      <w:pPr>
        <w:ind w:left="2160" w:hanging="180"/>
      </w:pPr>
    </w:lvl>
    <w:lvl w:ilvl="3" w:tplc="4DBCA3AE" w:tentative="1">
      <w:start w:val="1"/>
      <w:numFmt w:val="decimal"/>
      <w:lvlText w:val="%4."/>
      <w:lvlJc w:val="left"/>
      <w:pPr>
        <w:ind w:left="2880" w:hanging="360"/>
      </w:pPr>
    </w:lvl>
    <w:lvl w:ilvl="4" w:tplc="E244E0BE" w:tentative="1">
      <w:start w:val="1"/>
      <w:numFmt w:val="lowerLetter"/>
      <w:lvlText w:val="%5."/>
      <w:lvlJc w:val="left"/>
      <w:pPr>
        <w:ind w:left="3600" w:hanging="360"/>
      </w:pPr>
    </w:lvl>
    <w:lvl w:ilvl="5" w:tplc="72E2AFCC" w:tentative="1">
      <w:start w:val="1"/>
      <w:numFmt w:val="lowerRoman"/>
      <w:lvlText w:val="%6."/>
      <w:lvlJc w:val="right"/>
      <w:pPr>
        <w:ind w:left="4320" w:hanging="180"/>
      </w:pPr>
    </w:lvl>
    <w:lvl w:ilvl="6" w:tplc="BC1E65D8" w:tentative="1">
      <w:start w:val="1"/>
      <w:numFmt w:val="decimal"/>
      <w:lvlText w:val="%7."/>
      <w:lvlJc w:val="left"/>
      <w:pPr>
        <w:ind w:left="5040" w:hanging="360"/>
      </w:pPr>
    </w:lvl>
    <w:lvl w:ilvl="7" w:tplc="A36ACAAC" w:tentative="1">
      <w:start w:val="1"/>
      <w:numFmt w:val="lowerLetter"/>
      <w:lvlText w:val="%8."/>
      <w:lvlJc w:val="left"/>
      <w:pPr>
        <w:ind w:left="5760" w:hanging="360"/>
      </w:pPr>
    </w:lvl>
    <w:lvl w:ilvl="8" w:tplc="B0309C80" w:tentative="1">
      <w:start w:val="1"/>
      <w:numFmt w:val="lowerRoman"/>
      <w:lvlText w:val="%9."/>
      <w:lvlJc w:val="right"/>
      <w:pPr>
        <w:ind w:left="6480" w:hanging="180"/>
      </w:pPr>
    </w:lvl>
  </w:abstractNum>
  <w:abstractNum w:abstractNumId="17" w15:restartNumberingAfterBreak="0">
    <w:nsid w:val="3E255864"/>
    <w:multiLevelType w:val="hybridMultilevel"/>
    <w:tmpl w:val="83F60882"/>
    <w:lvl w:ilvl="0" w:tplc="726E5FC0">
      <w:start w:val="1"/>
      <w:numFmt w:val="bullet"/>
      <w:lvlText w:val=""/>
      <w:lvlJc w:val="left"/>
      <w:pPr>
        <w:ind w:left="720" w:hanging="360"/>
      </w:pPr>
      <w:rPr>
        <w:rFonts w:ascii="Symbol" w:hAnsi="Symbol" w:hint="default"/>
      </w:rPr>
    </w:lvl>
    <w:lvl w:ilvl="1" w:tplc="B0C608FE" w:tentative="1">
      <w:start w:val="1"/>
      <w:numFmt w:val="bullet"/>
      <w:lvlText w:val="o"/>
      <w:lvlJc w:val="left"/>
      <w:pPr>
        <w:ind w:left="1440" w:hanging="360"/>
      </w:pPr>
      <w:rPr>
        <w:rFonts w:ascii="Courier New" w:hAnsi="Courier New" w:cs="Courier New" w:hint="default"/>
      </w:rPr>
    </w:lvl>
    <w:lvl w:ilvl="2" w:tplc="39389B88" w:tentative="1">
      <w:start w:val="1"/>
      <w:numFmt w:val="bullet"/>
      <w:lvlText w:val=""/>
      <w:lvlJc w:val="left"/>
      <w:pPr>
        <w:ind w:left="2160" w:hanging="360"/>
      </w:pPr>
      <w:rPr>
        <w:rFonts w:ascii="Wingdings" w:hAnsi="Wingdings" w:hint="default"/>
      </w:rPr>
    </w:lvl>
    <w:lvl w:ilvl="3" w:tplc="27507FA8" w:tentative="1">
      <w:start w:val="1"/>
      <w:numFmt w:val="bullet"/>
      <w:lvlText w:val=""/>
      <w:lvlJc w:val="left"/>
      <w:pPr>
        <w:ind w:left="2880" w:hanging="360"/>
      </w:pPr>
      <w:rPr>
        <w:rFonts w:ascii="Symbol" w:hAnsi="Symbol" w:hint="default"/>
      </w:rPr>
    </w:lvl>
    <w:lvl w:ilvl="4" w:tplc="DAC409D2" w:tentative="1">
      <w:start w:val="1"/>
      <w:numFmt w:val="bullet"/>
      <w:lvlText w:val="o"/>
      <w:lvlJc w:val="left"/>
      <w:pPr>
        <w:ind w:left="3600" w:hanging="360"/>
      </w:pPr>
      <w:rPr>
        <w:rFonts w:ascii="Courier New" w:hAnsi="Courier New" w:cs="Courier New" w:hint="default"/>
      </w:rPr>
    </w:lvl>
    <w:lvl w:ilvl="5" w:tplc="1C6003A8" w:tentative="1">
      <w:start w:val="1"/>
      <w:numFmt w:val="bullet"/>
      <w:lvlText w:val=""/>
      <w:lvlJc w:val="left"/>
      <w:pPr>
        <w:ind w:left="4320" w:hanging="360"/>
      </w:pPr>
      <w:rPr>
        <w:rFonts w:ascii="Wingdings" w:hAnsi="Wingdings" w:hint="default"/>
      </w:rPr>
    </w:lvl>
    <w:lvl w:ilvl="6" w:tplc="976440C4" w:tentative="1">
      <w:start w:val="1"/>
      <w:numFmt w:val="bullet"/>
      <w:lvlText w:val=""/>
      <w:lvlJc w:val="left"/>
      <w:pPr>
        <w:ind w:left="5040" w:hanging="360"/>
      </w:pPr>
      <w:rPr>
        <w:rFonts w:ascii="Symbol" w:hAnsi="Symbol" w:hint="default"/>
      </w:rPr>
    </w:lvl>
    <w:lvl w:ilvl="7" w:tplc="2A1E160A" w:tentative="1">
      <w:start w:val="1"/>
      <w:numFmt w:val="bullet"/>
      <w:lvlText w:val="o"/>
      <w:lvlJc w:val="left"/>
      <w:pPr>
        <w:ind w:left="5760" w:hanging="360"/>
      </w:pPr>
      <w:rPr>
        <w:rFonts w:ascii="Courier New" w:hAnsi="Courier New" w:cs="Courier New" w:hint="default"/>
      </w:rPr>
    </w:lvl>
    <w:lvl w:ilvl="8" w:tplc="D138FFE4" w:tentative="1">
      <w:start w:val="1"/>
      <w:numFmt w:val="bullet"/>
      <w:lvlText w:val=""/>
      <w:lvlJc w:val="left"/>
      <w:pPr>
        <w:ind w:left="6480" w:hanging="360"/>
      </w:pPr>
      <w:rPr>
        <w:rFonts w:ascii="Wingdings" w:hAnsi="Wingdings" w:hint="default"/>
      </w:rPr>
    </w:lvl>
  </w:abstractNum>
  <w:abstractNum w:abstractNumId="18" w15:restartNumberingAfterBreak="0">
    <w:nsid w:val="3FB374C8"/>
    <w:multiLevelType w:val="hybridMultilevel"/>
    <w:tmpl w:val="E0C2F2AC"/>
    <w:lvl w:ilvl="0" w:tplc="7742C2FA">
      <w:start w:val="1"/>
      <w:numFmt w:val="bullet"/>
      <w:lvlText w:val=""/>
      <w:lvlJc w:val="left"/>
      <w:pPr>
        <w:ind w:left="720" w:hanging="360"/>
      </w:pPr>
      <w:rPr>
        <w:rFonts w:ascii="Symbol" w:hAnsi="Symbol" w:hint="default"/>
      </w:rPr>
    </w:lvl>
    <w:lvl w:ilvl="1" w:tplc="760C0756" w:tentative="1">
      <w:start w:val="1"/>
      <w:numFmt w:val="bullet"/>
      <w:lvlText w:val="o"/>
      <w:lvlJc w:val="left"/>
      <w:pPr>
        <w:ind w:left="1440" w:hanging="360"/>
      </w:pPr>
      <w:rPr>
        <w:rFonts w:ascii="Courier New" w:hAnsi="Courier New" w:cs="Courier New" w:hint="default"/>
      </w:rPr>
    </w:lvl>
    <w:lvl w:ilvl="2" w:tplc="DC8CA6B8" w:tentative="1">
      <w:start w:val="1"/>
      <w:numFmt w:val="bullet"/>
      <w:lvlText w:val=""/>
      <w:lvlJc w:val="left"/>
      <w:pPr>
        <w:ind w:left="2160" w:hanging="360"/>
      </w:pPr>
      <w:rPr>
        <w:rFonts w:ascii="Wingdings" w:hAnsi="Wingdings" w:hint="default"/>
      </w:rPr>
    </w:lvl>
    <w:lvl w:ilvl="3" w:tplc="7CDEB462" w:tentative="1">
      <w:start w:val="1"/>
      <w:numFmt w:val="bullet"/>
      <w:lvlText w:val=""/>
      <w:lvlJc w:val="left"/>
      <w:pPr>
        <w:ind w:left="2880" w:hanging="360"/>
      </w:pPr>
      <w:rPr>
        <w:rFonts w:ascii="Symbol" w:hAnsi="Symbol" w:hint="default"/>
      </w:rPr>
    </w:lvl>
    <w:lvl w:ilvl="4" w:tplc="BCE07BAE" w:tentative="1">
      <w:start w:val="1"/>
      <w:numFmt w:val="bullet"/>
      <w:lvlText w:val="o"/>
      <w:lvlJc w:val="left"/>
      <w:pPr>
        <w:ind w:left="3600" w:hanging="360"/>
      </w:pPr>
      <w:rPr>
        <w:rFonts w:ascii="Courier New" w:hAnsi="Courier New" w:cs="Courier New" w:hint="default"/>
      </w:rPr>
    </w:lvl>
    <w:lvl w:ilvl="5" w:tplc="29DA0382" w:tentative="1">
      <w:start w:val="1"/>
      <w:numFmt w:val="bullet"/>
      <w:lvlText w:val=""/>
      <w:lvlJc w:val="left"/>
      <w:pPr>
        <w:ind w:left="4320" w:hanging="360"/>
      </w:pPr>
      <w:rPr>
        <w:rFonts w:ascii="Wingdings" w:hAnsi="Wingdings" w:hint="default"/>
      </w:rPr>
    </w:lvl>
    <w:lvl w:ilvl="6" w:tplc="EAD0B35A" w:tentative="1">
      <w:start w:val="1"/>
      <w:numFmt w:val="bullet"/>
      <w:lvlText w:val=""/>
      <w:lvlJc w:val="left"/>
      <w:pPr>
        <w:ind w:left="5040" w:hanging="360"/>
      </w:pPr>
      <w:rPr>
        <w:rFonts w:ascii="Symbol" w:hAnsi="Symbol" w:hint="default"/>
      </w:rPr>
    </w:lvl>
    <w:lvl w:ilvl="7" w:tplc="F56499DA" w:tentative="1">
      <w:start w:val="1"/>
      <w:numFmt w:val="bullet"/>
      <w:lvlText w:val="o"/>
      <w:lvlJc w:val="left"/>
      <w:pPr>
        <w:ind w:left="5760" w:hanging="360"/>
      </w:pPr>
      <w:rPr>
        <w:rFonts w:ascii="Courier New" w:hAnsi="Courier New" w:cs="Courier New" w:hint="default"/>
      </w:rPr>
    </w:lvl>
    <w:lvl w:ilvl="8" w:tplc="CFC8BBFC" w:tentative="1">
      <w:start w:val="1"/>
      <w:numFmt w:val="bullet"/>
      <w:lvlText w:val=""/>
      <w:lvlJc w:val="left"/>
      <w:pPr>
        <w:ind w:left="6480" w:hanging="360"/>
      </w:pPr>
      <w:rPr>
        <w:rFonts w:ascii="Wingdings" w:hAnsi="Wingdings" w:hint="default"/>
      </w:rPr>
    </w:lvl>
  </w:abstractNum>
  <w:abstractNum w:abstractNumId="19" w15:restartNumberingAfterBreak="0">
    <w:nsid w:val="4DB266C9"/>
    <w:multiLevelType w:val="hybridMultilevel"/>
    <w:tmpl w:val="07F6BAA0"/>
    <w:lvl w:ilvl="0" w:tplc="DF5661BA">
      <w:start w:val="1"/>
      <w:numFmt w:val="bullet"/>
      <w:lvlText w:val=""/>
      <w:lvlJc w:val="left"/>
      <w:pPr>
        <w:ind w:left="720" w:hanging="360"/>
      </w:pPr>
      <w:rPr>
        <w:rFonts w:ascii="Symbol" w:hAnsi="Symbol" w:hint="default"/>
      </w:rPr>
    </w:lvl>
    <w:lvl w:ilvl="1" w:tplc="7112419A">
      <w:start w:val="1"/>
      <w:numFmt w:val="bullet"/>
      <w:lvlText w:val="o"/>
      <w:lvlJc w:val="left"/>
      <w:pPr>
        <w:ind w:left="1440" w:hanging="360"/>
      </w:pPr>
      <w:rPr>
        <w:rFonts w:ascii="Courier New" w:hAnsi="Courier New" w:cs="Courier New" w:hint="default"/>
      </w:rPr>
    </w:lvl>
    <w:lvl w:ilvl="2" w:tplc="11B83CF0" w:tentative="1">
      <w:start w:val="1"/>
      <w:numFmt w:val="bullet"/>
      <w:lvlText w:val=""/>
      <w:lvlJc w:val="left"/>
      <w:pPr>
        <w:ind w:left="2160" w:hanging="360"/>
      </w:pPr>
      <w:rPr>
        <w:rFonts w:ascii="Wingdings" w:hAnsi="Wingdings" w:hint="default"/>
      </w:rPr>
    </w:lvl>
    <w:lvl w:ilvl="3" w:tplc="3CC00920" w:tentative="1">
      <w:start w:val="1"/>
      <w:numFmt w:val="bullet"/>
      <w:lvlText w:val=""/>
      <w:lvlJc w:val="left"/>
      <w:pPr>
        <w:ind w:left="2880" w:hanging="360"/>
      </w:pPr>
      <w:rPr>
        <w:rFonts w:ascii="Symbol" w:hAnsi="Symbol" w:hint="default"/>
      </w:rPr>
    </w:lvl>
    <w:lvl w:ilvl="4" w:tplc="54247EB4" w:tentative="1">
      <w:start w:val="1"/>
      <w:numFmt w:val="bullet"/>
      <w:lvlText w:val="o"/>
      <w:lvlJc w:val="left"/>
      <w:pPr>
        <w:ind w:left="3600" w:hanging="360"/>
      </w:pPr>
      <w:rPr>
        <w:rFonts w:ascii="Courier New" w:hAnsi="Courier New" w:cs="Courier New" w:hint="default"/>
      </w:rPr>
    </w:lvl>
    <w:lvl w:ilvl="5" w:tplc="29A89A30" w:tentative="1">
      <w:start w:val="1"/>
      <w:numFmt w:val="bullet"/>
      <w:lvlText w:val=""/>
      <w:lvlJc w:val="left"/>
      <w:pPr>
        <w:ind w:left="4320" w:hanging="360"/>
      </w:pPr>
      <w:rPr>
        <w:rFonts w:ascii="Wingdings" w:hAnsi="Wingdings" w:hint="default"/>
      </w:rPr>
    </w:lvl>
    <w:lvl w:ilvl="6" w:tplc="969EC03E" w:tentative="1">
      <w:start w:val="1"/>
      <w:numFmt w:val="bullet"/>
      <w:lvlText w:val=""/>
      <w:lvlJc w:val="left"/>
      <w:pPr>
        <w:ind w:left="5040" w:hanging="360"/>
      </w:pPr>
      <w:rPr>
        <w:rFonts w:ascii="Symbol" w:hAnsi="Symbol" w:hint="default"/>
      </w:rPr>
    </w:lvl>
    <w:lvl w:ilvl="7" w:tplc="85AED6DA" w:tentative="1">
      <w:start w:val="1"/>
      <w:numFmt w:val="bullet"/>
      <w:lvlText w:val="o"/>
      <w:lvlJc w:val="left"/>
      <w:pPr>
        <w:ind w:left="5760" w:hanging="360"/>
      </w:pPr>
      <w:rPr>
        <w:rFonts w:ascii="Courier New" w:hAnsi="Courier New" w:cs="Courier New" w:hint="default"/>
      </w:rPr>
    </w:lvl>
    <w:lvl w:ilvl="8" w:tplc="F9B07B8E" w:tentative="1">
      <w:start w:val="1"/>
      <w:numFmt w:val="bullet"/>
      <w:lvlText w:val=""/>
      <w:lvlJc w:val="left"/>
      <w:pPr>
        <w:ind w:left="6480" w:hanging="360"/>
      </w:pPr>
      <w:rPr>
        <w:rFonts w:ascii="Wingdings" w:hAnsi="Wingdings" w:hint="default"/>
      </w:rPr>
    </w:lvl>
  </w:abstractNum>
  <w:abstractNum w:abstractNumId="20" w15:restartNumberingAfterBreak="0">
    <w:nsid w:val="622738FD"/>
    <w:multiLevelType w:val="hybridMultilevel"/>
    <w:tmpl w:val="F13884C2"/>
    <w:lvl w:ilvl="0" w:tplc="BE5EBA9C">
      <w:start w:val="1"/>
      <w:numFmt w:val="bullet"/>
      <w:lvlText w:val=""/>
      <w:lvlJc w:val="left"/>
      <w:pPr>
        <w:ind w:left="720" w:hanging="360"/>
      </w:pPr>
      <w:rPr>
        <w:rFonts w:ascii="Symbol" w:hAnsi="Symbol" w:hint="default"/>
      </w:rPr>
    </w:lvl>
    <w:lvl w:ilvl="1" w:tplc="6EF8BAF0" w:tentative="1">
      <w:start w:val="1"/>
      <w:numFmt w:val="bullet"/>
      <w:lvlText w:val="o"/>
      <w:lvlJc w:val="left"/>
      <w:pPr>
        <w:ind w:left="1440" w:hanging="360"/>
      </w:pPr>
      <w:rPr>
        <w:rFonts w:ascii="Courier New" w:hAnsi="Courier New" w:cs="Courier New" w:hint="default"/>
      </w:rPr>
    </w:lvl>
    <w:lvl w:ilvl="2" w:tplc="348EB928" w:tentative="1">
      <w:start w:val="1"/>
      <w:numFmt w:val="bullet"/>
      <w:lvlText w:val=""/>
      <w:lvlJc w:val="left"/>
      <w:pPr>
        <w:ind w:left="2160" w:hanging="360"/>
      </w:pPr>
      <w:rPr>
        <w:rFonts w:ascii="Wingdings" w:hAnsi="Wingdings" w:hint="default"/>
      </w:rPr>
    </w:lvl>
    <w:lvl w:ilvl="3" w:tplc="D9484700" w:tentative="1">
      <w:start w:val="1"/>
      <w:numFmt w:val="bullet"/>
      <w:lvlText w:val=""/>
      <w:lvlJc w:val="left"/>
      <w:pPr>
        <w:ind w:left="2880" w:hanging="360"/>
      </w:pPr>
      <w:rPr>
        <w:rFonts w:ascii="Symbol" w:hAnsi="Symbol" w:hint="default"/>
      </w:rPr>
    </w:lvl>
    <w:lvl w:ilvl="4" w:tplc="2F846B6A" w:tentative="1">
      <w:start w:val="1"/>
      <w:numFmt w:val="bullet"/>
      <w:lvlText w:val="o"/>
      <w:lvlJc w:val="left"/>
      <w:pPr>
        <w:ind w:left="3600" w:hanging="360"/>
      </w:pPr>
      <w:rPr>
        <w:rFonts w:ascii="Courier New" w:hAnsi="Courier New" w:cs="Courier New" w:hint="default"/>
      </w:rPr>
    </w:lvl>
    <w:lvl w:ilvl="5" w:tplc="3FE0BDAE" w:tentative="1">
      <w:start w:val="1"/>
      <w:numFmt w:val="bullet"/>
      <w:lvlText w:val=""/>
      <w:lvlJc w:val="left"/>
      <w:pPr>
        <w:ind w:left="4320" w:hanging="360"/>
      </w:pPr>
      <w:rPr>
        <w:rFonts w:ascii="Wingdings" w:hAnsi="Wingdings" w:hint="default"/>
      </w:rPr>
    </w:lvl>
    <w:lvl w:ilvl="6" w:tplc="3D0C4340" w:tentative="1">
      <w:start w:val="1"/>
      <w:numFmt w:val="bullet"/>
      <w:lvlText w:val=""/>
      <w:lvlJc w:val="left"/>
      <w:pPr>
        <w:ind w:left="5040" w:hanging="360"/>
      </w:pPr>
      <w:rPr>
        <w:rFonts w:ascii="Symbol" w:hAnsi="Symbol" w:hint="default"/>
      </w:rPr>
    </w:lvl>
    <w:lvl w:ilvl="7" w:tplc="80E6A0BE" w:tentative="1">
      <w:start w:val="1"/>
      <w:numFmt w:val="bullet"/>
      <w:lvlText w:val="o"/>
      <w:lvlJc w:val="left"/>
      <w:pPr>
        <w:ind w:left="5760" w:hanging="360"/>
      </w:pPr>
      <w:rPr>
        <w:rFonts w:ascii="Courier New" w:hAnsi="Courier New" w:cs="Courier New" w:hint="default"/>
      </w:rPr>
    </w:lvl>
    <w:lvl w:ilvl="8" w:tplc="FFB67FB6" w:tentative="1">
      <w:start w:val="1"/>
      <w:numFmt w:val="bullet"/>
      <w:lvlText w:val=""/>
      <w:lvlJc w:val="left"/>
      <w:pPr>
        <w:ind w:left="6480" w:hanging="360"/>
      </w:pPr>
      <w:rPr>
        <w:rFonts w:ascii="Wingdings" w:hAnsi="Wingdings" w:hint="default"/>
      </w:rPr>
    </w:lvl>
  </w:abstractNum>
  <w:abstractNum w:abstractNumId="21" w15:restartNumberingAfterBreak="0">
    <w:nsid w:val="7CF75C80"/>
    <w:multiLevelType w:val="hybridMultilevel"/>
    <w:tmpl w:val="ED10FF6A"/>
    <w:lvl w:ilvl="0" w:tplc="7188F554">
      <w:start w:val="1"/>
      <w:numFmt w:val="bullet"/>
      <w:lvlText w:val=""/>
      <w:lvlJc w:val="left"/>
      <w:pPr>
        <w:ind w:left="720" w:hanging="360"/>
      </w:pPr>
      <w:rPr>
        <w:rFonts w:ascii="Symbol" w:hAnsi="Symbol" w:hint="default"/>
      </w:rPr>
    </w:lvl>
    <w:lvl w:ilvl="1" w:tplc="29C24042" w:tentative="1">
      <w:start w:val="1"/>
      <w:numFmt w:val="bullet"/>
      <w:lvlText w:val="o"/>
      <w:lvlJc w:val="left"/>
      <w:pPr>
        <w:ind w:left="1440" w:hanging="360"/>
      </w:pPr>
      <w:rPr>
        <w:rFonts w:ascii="Courier New" w:hAnsi="Courier New" w:cs="Courier New" w:hint="default"/>
      </w:rPr>
    </w:lvl>
    <w:lvl w:ilvl="2" w:tplc="AAF270DC" w:tentative="1">
      <w:start w:val="1"/>
      <w:numFmt w:val="bullet"/>
      <w:lvlText w:val=""/>
      <w:lvlJc w:val="left"/>
      <w:pPr>
        <w:ind w:left="2160" w:hanging="360"/>
      </w:pPr>
      <w:rPr>
        <w:rFonts w:ascii="Wingdings" w:hAnsi="Wingdings" w:hint="default"/>
      </w:rPr>
    </w:lvl>
    <w:lvl w:ilvl="3" w:tplc="2C64657A" w:tentative="1">
      <w:start w:val="1"/>
      <w:numFmt w:val="bullet"/>
      <w:lvlText w:val=""/>
      <w:lvlJc w:val="left"/>
      <w:pPr>
        <w:ind w:left="2880" w:hanging="360"/>
      </w:pPr>
      <w:rPr>
        <w:rFonts w:ascii="Symbol" w:hAnsi="Symbol" w:hint="default"/>
      </w:rPr>
    </w:lvl>
    <w:lvl w:ilvl="4" w:tplc="7F3ED9A4" w:tentative="1">
      <w:start w:val="1"/>
      <w:numFmt w:val="bullet"/>
      <w:lvlText w:val="o"/>
      <w:lvlJc w:val="left"/>
      <w:pPr>
        <w:ind w:left="3600" w:hanging="360"/>
      </w:pPr>
      <w:rPr>
        <w:rFonts w:ascii="Courier New" w:hAnsi="Courier New" w:cs="Courier New" w:hint="default"/>
      </w:rPr>
    </w:lvl>
    <w:lvl w:ilvl="5" w:tplc="271E2DA2" w:tentative="1">
      <w:start w:val="1"/>
      <w:numFmt w:val="bullet"/>
      <w:lvlText w:val=""/>
      <w:lvlJc w:val="left"/>
      <w:pPr>
        <w:ind w:left="4320" w:hanging="360"/>
      </w:pPr>
      <w:rPr>
        <w:rFonts w:ascii="Wingdings" w:hAnsi="Wingdings" w:hint="default"/>
      </w:rPr>
    </w:lvl>
    <w:lvl w:ilvl="6" w:tplc="0C685B78" w:tentative="1">
      <w:start w:val="1"/>
      <w:numFmt w:val="bullet"/>
      <w:lvlText w:val=""/>
      <w:lvlJc w:val="left"/>
      <w:pPr>
        <w:ind w:left="5040" w:hanging="360"/>
      </w:pPr>
      <w:rPr>
        <w:rFonts w:ascii="Symbol" w:hAnsi="Symbol" w:hint="default"/>
      </w:rPr>
    </w:lvl>
    <w:lvl w:ilvl="7" w:tplc="5E9E2B74" w:tentative="1">
      <w:start w:val="1"/>
      <w:numFmt w:val="bullet"/>
      <w:lvlText w:val="o"/>
      <w:lvlJc w:val="left"/>
      <w:pPr>
        <w:ind w:left="5760" w:hanging="360"/>
      </w:pPr>
      <w:rPr>
        <w:rFonts w:ascii="Courier New" w:hAnsi="Courier New" w:cs="Courier New" w:hint="default"/>
      </w:rPr>
    </w:lvl>
    <w:lvl w:ilvl="8" w:tplc="906056D6" w:tentative="1">
      <w:start w:val="1"/>
      <w:numFmt w:val="bullet"/>
      <w:lvlText w:val=""/>
      <w:lvlJc w:val="left"/>
      <w:pPr>
        <w:ind w:left="6480" w:hanging="360"/>
      </w:pPr>
      <w:rPr>
        <w:rFonts w:ascii="Wingdings" w:hAnsi="Wingdings" w:hint="default"/>
      </w:rPr>
    </w:lvl>
  </w:abstractNum>
  <w:abstractNum w:abstractNumId="22" w15:restartNumberingAfterBreak="0">
    <w:nsid w:val="7D1C5D27"/>
    <w:multiLevelType w:val="hybridMultilevel"/>
    <w:tmpl w:val="B5B45750"/>
    <w:lvl w:ilvl="0" w:tplc="76E494F2">
      <w:start w:val="1"/>
      <w:numFmt w:val="lowerLetter"/>
      <w:lvlText w:val="%1)"/>
      <w:lvlJc w:val="left"/>
      <w:pPr>
        <w:ind w:left="360" w:hanging="360"/>
      </w:pPr>
      <w:rPr>
        <w:rFonts w:hint="default"/>
      </w:rPr>
    </w:lvl>
    <w:lvl w:ilvl="1" w:tplc="B3D69BDC" w:tentative="1">
      <w:start w:val="1"/>
      <w:numFmt w:val="lowerLetter"/>
      <w:lvlText w:val="%2."/>
      <w:lvlJc w:val="left"/>
      <w:pPr>
        <w:ind w:left="1080" w:hanging="360"/>
      </w:pPr>
    </w:lvl>
    <w:lvl w:ilvl="2" w:tplc="CB4471D2" w:tentative="1">
      <w:start w:val="1"/>
      <w:numFmt w:val="lowerRoman"/>
      <w:lvlText w:val="%3."/>
      <w:lvlJc w:val="right"/>
      <w:pPr>
        <w:ind w:left="1800" w:hanging="180"/>
      </w:pPr>
    </w:lvl>
    <w:lvl w:ilvl="3" w:tplc="EFEA79C2" w:tentative="1">
      <w:start w:val="1"/>
      <w:numFmt w:val="decimal"/>
      <w:lvlText w:val="%4."/>
      <w:lvlJc w:val="left"/>
      <w:pPr>
        <w:ind w:left="2520" w:hanging="360"/>
      </w:pPr>
    </w:lvl>
    <w:lvl w:ilvl="4" w:tplc="87F67142" w:tentative="1">
      <w:start w:val="1"/>
      <w:numFmt w:val="lowerLetter"/>
      <w:lvlText w:val="%5."/>
      <w:lvlJc w:val="left"/>
      <w:pPr>
        <w:ind w:left="3240" w:hanging="360"/>
      </w:pPr>
    </w:lvl>
    <w:lvl w:ilvl="5" w:tplc="513267B0" w:tentative="1">
      <w:start w:val="1"/>
      <w:numFmt w:val="lowerRoman"/>
      <w:lvlText w:val="%6."/>
      <w:lvlJc w:val="right"/>
      <w:pPr>
        <w:ind w:left="3960" w:hanging="180"/>
      </w:pPr>
    </w:lvl>
    <w:lvl w:ilvl="6" w:tplc="48FC815A" w:tentative="1">
      <w:start w:val="1"/>
      <w:numFmt w:val="decimal"/>
      <w:lvlText w:val="%7."/>
      <w:lvlJc w:val="left"/>
      <w:pPr>
        <w:ind w:left="4680" w:hanging="360"/>
      </w:pPr>
    </w:lvl>
    <w:lvl w:ilvl="7" w:tplc="F126C9B0" w:tentative="1">
      <w:start w:val="1"/>
      <w:numFmt w:val="lowerLetter"/>
      <w:lvlText w:val="%8."/>
      <w:lvlJc w:val="left"/>
      <w:pPr>
        <w:ind w:left="5400" w:hanging="360"/>
      </w:pPr>
    </w:lvl>
    <w:lvl w:ilvl="8" w:tplc="00EA7C6A" w:tentative="1">
      <w:start w:val="1"/>
      <w:numFmt w:val="lowerRoman"/>
      <w:lvlText w:val="%9."/>
      <w:lvlJc w:val="right"/>
      <w:pPr>
        <w:ind w:left="6120" w:hanging="180"/>
      </w:pPr>
    </w:lvl>
  </w:abstractNum>
  <w:num w:numId="1" w16cid:durableId="1613977726">
    <w:abstractNumId w:val="19"/>
  </w:num>
  <w:num w:numId="2" w16cid:durableId="1753892253">
    <w:abstractNumId w:val="14"/>
  </w:num>
  <w:num w:numId="3" w16cid:durableId="1041368059">
    <w:abstractNumId w:val="10"/>
  </w:num>
  <w:num w:numId="4" w16cid:durableId="601112114">
    <w:abstractNumId w:val="22"/>
  </w:num>
  <w:num w:numId="5" w16cid:durableId="1930625966">
    <w:abstractNumId w:val="16"/>
  </w:num>
  <w:num w:numId="6" w16cid:durableId="606501952">
    <w:abstractNumId w:val="11"/>
  </w:num>
  <w:num w:numId="7" w16cid:durableId="418258101">
    <w:abstractNumId w:val="9"/>
  </w:num>
  <w:num w:numId="8" w16cid:durableId="993870284">
    <w:abstractNumId w:val="7"/>
  </w:num>
  <w:num w:numId="9" w16cid:durableId="1142428734">
    <w:abstractNumId w:val="6"/>
  </w:num>
  <w:num w:numId="10" w16cid:durableId="868639507">
    <w:abstractNumId w:val="5"/>
  </w:num>
  <w:num w:numId="11" w16cid:durableId="363991315">
    <w:abstractNumId w:val="4"/>
  </w:num>
  <w:num w:numId="12" w16cid:durableId="1029918785">
    <w:abstractNumId w:val="8"/>
  </w:num>
  <w:num w:numId="13" w16cid:durableId="1422944225">
    <w:abstractNumId w:val="3"/>
  </w:num>
  <w:num w:numId="14" w16cid:durableId="1716855211">
    <w:abstractNumId w:val="2"/>
  </w:num>
  <w:num w:numId="15" w16cid:durableId="1173644311">
    <w:abstractNumId w:val="1"/>
  </w:num>
  <w:num w:numId="16" w16cid:durableId="539899472">
    <w:abstractNumId w:val="0"/>
  </w:num>
  <w:num w:numId="17" w16cid:durableId="1707561780">
    <w:abstractNumId w:val="17"/>
  </w:num>
  <w:num w:numId="18" w16cid:durableId="1177572828">
    <w:abstractNumId w:val="21"/>
  </w:num>
  <w:num w:numId="19" w16cid:durableId="776944707">
    <w:abstractNumId w:val="13"/>
  </w:num>
  <w:num w:numId="20" w16cid:durableId="1854954997">
    <w:abstractNumId w:val="18"/>
  </w:num>
  <w:num w:numId="21" w16cid:durableId="1819608279">
    <w:abstractNumId w:val="20"/>
  </w:num>
  <w:num w:numId="22" w16cid:durableId="1492523618">
    <w:abstractNumId w:val="15"/>
  </w:num>
  <w:num w:numId="23" w16cid:durableId="382022924">
    <w:abstractNumId w:val="1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00"/>
  <w:drawingGridVerticalSpacing w:val="136"/>
  <w:displayHorizontalDrawingGridEvery w:val="0"/>
  <w:displayVerticalDrawingGridEvery w:val="2"/>
  <w:noPunctuationKerning/>
  <w:characterSpacingControl w:val="doNotCompress"/>
  <w:hdrShapeDefaults>
    <o:shapedefaults v:ext="edit" spidmax="77825"/>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7277"/>
    <w:rsid w:val="00002191"/>
    <w:rsid w:val="00004813"/>
    <w:rsid w:val="00020B72"/>
    <w:rsid w:val="000255D3"/>
    <w:rsid w:val="00051DB6"/>
    <w:rsid w:val="00053E89"/>
    <w:rsid w:val="00070809"/>
    <w:rsid w:val="000960A3"/>
    <w:rsid w:val="000A2FDB"/>
    <w:rsid w:val="000C1804"/>
    <w:rsid w:val="000C700B"/>
    <w:rsid w:val="000D68BC"/>
    <w:rsid w:val="000D721E"/>
    <w:rsid w:val="000E2BD3"/>
    <w:rsid w:val="000E6FA5"/>
    <w:rsid w:val="0011563A"/>
    <w:rsid w:val="00120743"/>
    <w:rsid w:val="00127762"/>
    <w:rsid w:val="001426DC"/>
    <w:rsid w:val="001554EB"/>
    <w:rsid w:val="001828C2"/>
    <w:rsid w:val="001831CC"/>
    <w:rsid w:val="00193019"/>
    <w:rsid w:val="001B40CB"/>
    <w:rsid w:val="001B57B1"/>
    <w:rsid w:val="001E6B2D"/>
    <w:rsid w:val="001F070D"/>
    <w:rsid w:val="001F224F"/>
    <w:rsid w:val="002241C6"/>
    <w:rsid w:val="00225AF6"/>
    <w:rsid w:val="00226324"/>
    <w:rsid w:val="00241F92"/>
    <w:rsid w:val="00252361"/>
    <w:rsid w:val="00277ACD"/>
    <w:rsid w:val="00296107"/>
    <w:rsid w:val="002A4444"/>
    <w:rsid w:val="002B6654"/>
    <w:rsid w:val="002C31DC"/>
    <w:rsid w:val="002F4773"/>
    <w:rsid w:val="002F7B75"/>
    <w:rsid w:val="003023E3"/>
    <w:rsid w:val="00312114"/>
    <w:rsid w:val="00336D0C"/>
    <w:rsid w:val="0034229D"/>
    <w:rsid w:val="00350AFF"/>
    <w:rsid w:val="00351FE3"/>
    <w:rsid w:val="003572A1"/>
    <w:rsid w:val="00381053"/>
    <w:rsid w:val="00387BAF"/>
    <w:rsid w:val="00390267"/>
    <w:rsid w:val="003A7DE8"/>
    <w:rsid w:val="003D4CCB"/>
    <w:rsid w:val="003D55AF"/>
    <w:rsid w:val="003D7277"/>
    <w:rsid w:val="003E0C9A"/>
    <w:rsid w:val="003F51B8"/>
    <w:rsid w:val="00402A61"/>
    <w:rsid w:val="00411C36"/>
    <w:rsid w:val="00422A69"/>
    <w:rsid w:val="00424A37"/>
    <w:rsid w:val="0043462F"/>
    <w:rsid w:val="0044363E"/>
    <w:rsid w:val="004553DB"/>
    <w:rsid w:val="00470CEF"/>
    <w:rsid w:val="004A6EBC"/>
    <w:rsid w:val="004B0BDE"/>
    <w:rsid w:val="004C5BB2"/>
    <w:rsid w:val="004E3FA9"/>
    <w:rsid w:val="004E4A24"/>
    <w:rsid w:val="00531BB1"/>
    <w:rsid w:val="00541160"/>
    <w:rsid w:val="00551FE6"/>
    <w:rsid w:val="00554E56"/>
    <w:rsid w:val="00561838"/>
    <w:rsid w:val="0056607E"/>
    <w:rsid w:val="005679C5"/>
    <w:rsid w:val="005776B9"/>
    <w:rsid w:val="00583219"/>
    <w:rsid w:val="005A2363"/>
    <w:rsid w:val="005B2843"/>
    <w:rsid w:val="005C05E6"/>
    <w:rsid w:val="005C2868"/>
    <w:rsid w:val="005D31D9"/>
    <w:rsid w:val="005E6E53"/>
    <w:rsid w:val="005F0019"/>
    <w:rsid w:val="005F033C"/>
    <w:rsid w:val="005F5CA5"/>
    <w:rsid w:val="00605F50"/>
    <w:rsid w:val="0061159B"/>
    <w:rsid w:val="006501DE"/>
    <w:rsid w:val="00663008"/>
    <w:rsid w:val="00666CFF"/>
    <w:rsid w:val="006949DC"/>
    <w:rsid w:val="006B29FF"/>
    <w:rsid w:val="007151F4"/>
    <w:rsid w:val="00716826"/>
    <w:rsid w:val="00731E0F"/>
    <w:rsid w:val="00734976"/>
    <w:rsid w:val="0075062C"/>
    <w:rsid w:val="007752C7"/>
    <w:rsid w:val="00775D8A"/>
    <w:rsid w:val="00777ED3"/>
    <w:rsid w:val="007877B4"/>
    <w:rsid w:val="00791D55"/>
    <w:rsid w:val="00793546"/>
    <w:rsid w:val="00795367"/>
    <w:rsid w:val="00796A09"/>
    <w:rsid w:val="007A0D46"/>
    <w:rsid w:val="007A1548"/>
    <w:rsid w:val="007B66C5"/>
    <w:rsid w:val="007C23C2"/>
    <w:rsid w:val="007D6070"/>
    <w:rsid w:val="007F1930"/>
    <w:rsid w:val="00834F5C"/>
    <w:rsid w:val="00836372"/>
    <w:rsid w:val="00843492"/>
    <w:rsid w:val="00851629"/>
    <w:rsid w:val="00867E36"/>
    <w:rsid w:val="00875A74"/>
    <w:rsid w:val="00883C27"/>
    <w:rsid w:val="00890FED"/>
    <w:rsid w:val="008A2F3D"/>
    <w:rsid w:val="008A429A"/>
    <w:rsid w:val="008B1CCE"/>
    <w:rsid w:val="008C603E"/>
    <w:rsid w:val="008D233F"/>
    <w:rsid w:val="008D3DAD"/>
    <w:rsid w:val="008D6FDF"/>
    <w:rsid w:val="009002AD"/>
    <w:rsid w:val="00904FF7"/>
    <w:rsid w:val="009059EB"/>
    <w:rsid w:val="0090733E"/>
    <w:rsid w:val="00913264"/>
    <w:rsid w:val="009251B5"/>
    <w:rsid w:val="00940135"/>
    <w:rsid w:val="00941377"/>
    <w:rsid w:val="00941BEE"/>
    <w:rsid w:val="00943E38"/>
    <w:rsid w:val="00947609"/>
    <w:rsid w:val="00963090"/>
    <w:rsid w:val="0096364A"/>
    <w:rsid w:val="009655AA"/>
    <w:rsid w:val="0097719E"/>
    <w:rsid w:val="0098022A"/>
    <w:rsid w:val="00992836"/>
    <w:rsid w:val="009D1FF0"/>
    <w:rsid w:val="009E5DD7"/>
    <w:rsid w:val="009F3D33"/>
    <w:rsid w:val="009F45CA"/>
    <w:rsid w:val="009F7D6B"/>
    <w:rsid w:val="00A101CE"/>
    <w:rsid w:val="00A33C32"/>
    <w:rsid w:val="00A370FE"/>
    <w:rsid w:val="00A461D7"/>
    <w:rsid w:val="00A6630F"/>
    <w:rsid w:val="00A70193"/>
    <w:rsid w:val="00A704C0"/>
    <w:rsid w:val="00A97A11"/>
    <w:rsid w:val="00AA6A0D"/>
    <w:rsid w:val="00AB2690"/>
    <w:rsid w:val="00AB59B3"/>
    <w:rsid w:val="00AE6B59"/>
    <w:rsid w:val="00AF53CE"/>
    <w:rsid w:val="00B01EEB"/>
    <w:rsid w:val="00B061CA"/>
    <w:rsid w:val="00B06641"/>
    <w:rsid w:val="00B124C3"/>
    <w:rsid w:val="00B15C0F"/>
    <w:rsid w:val="00B26E72"/>
    <w:rsid w:val="00B27B38"/>
    <w:rsid w:val="00B33621"/>
    <w:rsid w:val="00B55360"/>
    <w:rsid w:val="00B651D1"/>
    <w:rsid w:val="00BA41B8"/>
    <w:rsid w:val="00BC0356"/>
    <w:rsid w:val="00BC37D0"/>
    <w:rsid w:val="00BC3B80"/>
    <w:rsid w:val="00BD0B62"/>
    <w:rsid w:val="00BD3A1B"/>
    <w:rsid w:val="00BE68A3"/>
    <w:rsid w:val="00BF28AD"/>
    <w:rsid w:val="00C117D0"/>
    <w:rsid w:val="00C202B8"/>
    <w:rsid w:val="00C3536B"/>
    <w:rsid w:val="00C357E6"/>
    <w:rsid w:val="00C51395"/>
    <w:rsid w:val="00CB3047"/>
    <w:rsid w:val="00CD1484"/>
    <w:rsid w:val="00CD3047"/>
    <w:rsid w:val="00CD6C4C"/>
    <w:rsid w:val="00CF370B"/>
    <w:rsid w:val="00D0020D"/>
    <w:rsid w:val="00D0304C"/>
    <w:rsid w:val="00D07831"/>
    <w:rsid w:val="00D24A85"/>
    <w:rsid w:val="00D43347"/>
    <w:rsid w:val="00D52B5E"/>
    <w:rsid w:val="00D5331C"/>
    <w:rsid w:val="00D55000"/>
    <w:rsid w:val="00D615E4"/>
    <w:rsid w:val="00D64D4B"/>
    <w:rsid w:val="00D71CAF"/>
    <w:rsid w:val="00D77F11"/>
    <w:rsid w:val="00D830A5"/>
    <w:rsid w:val="00D97F04"/>
    <w:rsid w:val="00DA69EC"/>
    <w:rsid w:val="00DA7477"/>
    <w:rsid w:val="00DB4316"/>
    <w:rsid w:val="00DB5438"/>
    <w:rsid w:val="00DE060B"/>
    <w:rsid w:val="00DE0EF5"/>
    <w:rsid w:val="00DE6FB3"/>
    <w:rsid w:val="00E10585"/>
    <w:rsid w:val="00E10D5C"/>
    <w:rsid w:val="00E54687"/>
    <w:rsid w:val="00E57B9B"/>
    <w:rsid w:val="00E70054"/>
    <w:rsid w:val="00E710EA"/>
    <w:rsid w:val="00E809C3"/>
    <w:rsid w:val="00E921EA"/>
    <w:rsid w:val="00EA743C"/>
    <w:rsid w:val="00EB36D1"/>
    <w:rsid w:val="00EB3836"/>
    <w:rsid w:val="00EB51E4"/>
    <w:rsid w:val="00ED06CB"/>
    <w:rsid w:val="00ED22FF"/>
    <w:rsid w:val="00ED3F5B"/>
    <w:rsid w:val="00ED453A"/>
    <w:rsid w:val="00EF0B86"/>
    <w:rsid w:val="00F54E2F"/>
    <w:rsid w:val="00F571A2"/>
    <w:rsid w:val="00F7188A"/>
    <w:rsid w:val="00F7700A"/>
    <w:rsid w:val="00F84F65"/>
    <w:rsid w:val="00F8561C"/>
    <w:rsid w:val="00FA2727"/>
    <w:rsid w:val="00FD1333"/>
    <w:rsid w:val="00FF07DC"/>
    <w:rsid w:val="00FF63EE"/>
  </w:rsids>
  <m:mathPr>
    <m:mathFont m:val="Cambria Math"/>
    <m:brkBin m:val="before"/>
    <m:brkBinSub m:val="--"/>
    <m:smallFrac m:val="0"/>
    <m:dispDef/>
    <m:lMargin m:val="0"/>
    <m:rMargin m:val="0"/>
    <m:defJc m:val="centerGroup"/>
    <m:wrapIndent m:val="1440"/>
    <m:intLim m:val="subSup"/>
    <m:naryLim m:val="undOvr"/>
  </m:mathPr>
  <w:themeFontLang w:val="en-GB" w:eastAsia="zh-CN"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7825"/>
    <o:shapelayout v:ext="edit">
      <o:idmap v:ext="edit" data="1"/>
    </o:shapelayout>
  </w:shapeDefaults>
  <w:decimalSymbol w:val="."/>
  <w:listSeparator w:val=","/>
  <w14:docId w14:val="21E21486"/>
  <w15:docId w15:val="{35B4A84C-E340-4FCA-B50B-1600C23AC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uiPriority="99"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99"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6C457B"/>
    <w:pPr>
      <w:jc w:val="both"/>
    </w:pPr>
    <w:rPr>
      <w:rFonts w:ascii="Arial" w:hAnsi="Arial"/>
    </w:rPr>
  </w:style>
  <w:style w:type="paragraph" w:styleId="Heading1">
    <w:name w:val="heading 1"/>
    <w:basedOn w:val="Normal"/>
    <w:next w:val="Normal"/>
    <w:qFormat/>
    <w:rsid w:val="00F3320C"/>
    <w:pPr>
      <w:keepNext/>
      <w:spacing w:before="240" w:after="60"/>
      <w:outlineLvl w:val="0"/>
    </w:pPr>
    <w:rPr>
      <w:rFonts w:cs="Arial"/>
      <w:b/>
      <w:bCs/>
      <w:kern w:val="32"/>
      <w:sz w:val="32"/>
      <w:szCs w:val="32"/>
    </w:rPr>
  </w:style>
  <w:style w:type="paragraph" w:styleId="Heading2">
    <w:name w:val="heading 2"/>
    <w:basedOn w:val="Normal"/>
    <w:next w:val="Normal"/>
    <w:qFormat/>
    <w:rsid w:val="00F3320C"/>
    <w:pPr>
      <w:keepNext/>
      <w:spacing w:before="240" w:after="60"/>
      <w:outlineLvl w:val="1"/>
    </w:pPr>
    <w:rPr>
      <w:rFonts w:cs="Arial"/>
      <w:b/>
      <w:bCs/>
      <w:i/>
      <w:iCs/>
      <w:sz w:val="28"/>
      <w:szCs w:val="28"/>
    </w:rPr>
  </w:style>
  <w:style w:type="paragraph" w:styleId="Heading3">
    <w:name w:val="heading 3"/>
    <w:basedOn w:val="Normal"/>
    <w:next w:val="Normal"/>
    <w:qFormat/>
    <w:rsid w:val="00F3320C"/>
    <w:pPr>
      <w:keepNext/>
      <w:spacing w:before="240" w:after="60"/>
      <w:outlineLvl w:val="2"/>
    </w:pPr>
    <w:rPr>
      <w:rFonts w:cs="Arial"/>
      <w:b/>
      <w:bCs/>
      <w:sz w:val="26"/>
      <w:szCs w:val="26"/>
    </w:rPr>
  </w:style>
  <w:style w:type="paragraph" w:styleId="Heading4">
    <w:name w:val="heading 4"/>
    <w:basedOn w:val="Normal"/>
    <w:next w:val="Normal"/>
    <w:link w:val="Heading4Char"/>
    <w:semiHidden/>
    <w:unhideWhenUsed/>
    <w:qFormat/>
    <w:rsid w:val="009261A7"/>
    <w:pPr>
      <w:keepNext/>
      <w:keepLines/>
      <w:spacing w:before="200"/>
      <w:outlineLvl w:val="3"/>
    </w:pPr>
    <w:rPr>
      <w:rFonts w:asciiTheme="majorHAnsi" w:hAnsiTheme="majorHAnsi" w:eastAsiaTheme="majorEastAsia" w:cstheme="majorBidi"/>
      <w:b/>
      <w:bCs/>
      <w:i/>
      <w:iCs/>
      <w:color w:val="5B9BD5" w:themeColor="accent1"/>
    </w:rPr>
  </w:style>
  <w:style w:type="paragraph" w:styleId="Heading5">
    <w:name w:val="heading 5"/>
    <w:basedOn w:val="Normal"/>
    <w:next w:val="Normal"/>
    <w:link w:val="Heading5Char"/>
    <w:semiHidden/>
    <w:unhideWhenUsed/>
    <w:qFormat/>
    <w:rsid w:val="009261A7"/>
    <w:pPr>
      <w:keepNext/>
      <w:keepLines/>
      <w:spacing w:before="200"/>
      <w:outlineLvl w:val="4"/>
    </w:pPr>
    <w:rPr>
      <w:rFonts w:asciiTheme="majorHAnsi" w:hAnsiTheme="majorHAnsi" w:eastAsiaTheme="majorEastAsia" w:cstheme="majorBidi"/>
      <w:color w:val="1F4D78" w:themeColor="accent1" w:themeShade="7F"/>
    </w:rPr>
  </w:style>
  <w:style w:type="paragraph" w:styleId="Heading6">
    <w:name w:val="heading 6"/>
    <w:basedOn w:val="Normal"/>
    <w:next w:val="Normal"/>
    <w:link w:val="Heading6Char"/>
    <w:semiHidden/>
    <w:unhideWhenUsed/>
    <w:qFormat/>
    <w:rsid w:val="009261A7"/>
    <w:pPr>
      <w:keepNext/>
      <w:keepLines/>
      <w:spacing w:before="200"/>
      <w:outlineLvl w:val="5"/>
    </w:pPr>
    <w:rPr>
      <w:rFonts w:asciiTheme="majorHAnsi" w:hAnsiTheme="majorHAnsi" w:eastAsiaTheme="majorEastAsia" w:cstheme="majorBidi"/>
      <w:i/>
      <w:iCs/>
      <w:color w:val="1F4D78" w:themeColor="accent1" w:themeShade="7F"/>
    </w:rPr>
  </w:style>
  <w:style w:type="paragraph" w:styleId="Heading7">
    <w:name w:val="heading 7"/>
    <w:basedOn w:val="Normal"/>
    <w:next w:val="Normal"/>
    <w:link w:val="Heading7Char"/>
    <w:semiHidden/>
    <w:unhideWhenUsed/>
    <w:qFormat/>
    <w:rsid w:val="009261A7"/>
    <w:pPr>
      <w:keepNext/>
      <w:keepLines/>
      <w:spacing w:before="200"/>
      <w:outlineLvl w:val="6"/>
    </w:pPr>
    <w:rPr>
      <w:rFonts w:asciiTheme="majorHAnsi" w:hAnsiTheme="majorHAnsi" w:eastAsiaTheme="majorEastAsia" w:cstheme="majorBidi"/>
      <w:i/>
      <w:iCs/>
      <w:color w:val="404040" w:themeColor="text1" w:themeTint="BF"/>
    </w:rPr>
  </w:style>
  <w:style w:type="paragraph" w:styleId="Heading8">
    <w:name w:val="heading 8"/>
    <w:basedOn w:val="Normal"/>
    <w:next w:val="Normal"/>
    <w:link w:val="Heading8Char"/>
    <w:semiHidden/>
    <w:unhideWhenUsed/>
    <w:qFormat/>
    <w:rsid w:val="009261A7"/>
    <w:pPr>
      <w:keepNext/>
      <w:keepLines/>
      <w:spacing w:before="200"/>
      <w:outlineLvl w:val="7"/>
    </w:pPr>
    <w:rPr>
      <w:rFonts w:asciiTheme="majorHAnsi" w:hAnsiTheme="majorHAnsi" w:eastAsiaTheme="majorEastAsia" w:cstheme="majorBidi"/>
      <w:color w:val="404040" w:themeColor="text1" w:themeTint="BF"/>
    </w:rPr>
  </w:style>
  <w:style w:type="paragraph" w:styleId="Heading9">
    <w:name w:val="heading 9"/>
    <w:basedOn w:val="Normal"/>
    <w:next w:val="Normal"/>
    <w:link w:val="Heading9Char"/>
    <w:semiHidden/>
    <w:unhideWhenUsed/>
    <w:qFormat/>
    <w:rsid w:val="009261A7"/>
    <w:pPr>
      <w:keepNext/>
      <w:keepLines/>
      <w:spacing w:before="200"/>
      <w:outlineLvl w:val="8"/>
    </w:pPr>
    <w:rPr>
      <w:rFonts w:asciiTheme="majorHAnsi" w:hAnsiTheme="majorHAnsi" w:eastAsiaTheme="majorEastAsia" w:cstheme="majorBidi"/>
      <w:i/>
      <w:iCs/>
      <w:color w:val="404040" w:themeColor="text1" w:themeTint="BF"/>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rsid w:val="00F3320C"/>
    <w:pPr>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FootnoteText">
    <w:name w:val="footnote text"/>
    <w:basedOn w:val="Normal"/>
    <w:semiHidden/>
    <w:rsid w:val="00522B87"/>
  </w:style>
  <w:style w:type="character" w:styleId="FootnoteReference">
    <w:name w:val="footnote reference"/>
    <w:semiHidden/>
    <w:rsid w:val="00522B87"/>
    <w:rPr>
      <w:vertAlign w:val="superscript"/>
    </w:rPr>
  </w:style>
  <w:style w:type="paragraph" w:styleId="BodytextAfterTables" w:customStyle="1">
    <w:name w:val="Bodytext AfterTables"/>
    <w:basedOn w:val="Normal"/>
    <w:link w:val="BodytextAfterTablesChar"/>
    <w:rsid w:val="00D96911"/>
    <w:pPr>
      <w:spacing w:before="200" w:after="200" w:line="200" w:lineRule="exact"/>
      <w:jc w:val="left"/>
    </w:pPr>
    <w:rPr>
      <w:spacing w:val="-1"/>
      <w:sz w:val="18"/>
      <w:szCs w:val="24"/>
    </w:rPr>
  </w:style>
  <w:style w:type="paragraph" w:styleId="Tabletext" w:customStyle="1">
    <w:name w:val="Tabletext"/>
    <w:basedOn w:val="Normal"/>
    <w:link w:val="TabletextChar"/>
    <w:qFormat/>
    <w:rsid w:val="00D96911"/>
    <w:pPr>
      <w:tabs>
        <w:tab w:val="left" w:pos="142"/>
      </w:tabs>
      <w:spacing w:before="10" w:after="10" w:line="200" w:lineRule="exact"/>
      <w:jc w:val="left"/>
    </w:pPr>
    <w:rPr>
      <w:spacing w:val="-1"/>
      <w:sz w:val="18"/>
      <w:szCs w:val="24"/>
    </w:rPr>
  </w:style>
  <w:style w:type="character" w:styleId="Hyperlink">
    <w:name w:val="Hyperlink"/>
    <w:rsid w:val="00D96911"/>
    <w:rPr>
      <w:rFonts w:ascii="Arial" w:hAnsi="Arial"/>
      <w:color w:val="000000"/>
      <w:u w:val="single"/>
    </w:rPr>
  </w:style>
  <w:style w:type="character" w:styleId="TabletextChar" w:customStyle="1">
    <w:name w:val="Tabletext Char"/>
    <w:link w:val="Tabletext"/>
    <w:rsid w:val="00D96911"/>
    <w:rPr>
      <w:rFonts w:ascii="Arial" w:hAnsi="Arial"/>
      <w:spacing w:val="-1"/>
      <w:sz w:val="18"/>
      <w:szCs w:val="24"/>
      <w:lang w:val="en-GB" w:eastAsia="en-GB" w:bidi="ar-SA"/>
    </w:rPr>
  </w:style>
  <w:style w:type="character" w:styleId="BodytextAfterTablesChar" w:customStyle="1">
    <w:name w:val="Bodytext AfterTables Char"/>
    <w:link w:val="BodytextAfterTables"/>
    <w:rsid w:val="00D96911"/>
    <w:rPr>
      <w:rFonts w:ascii="Arial" w:hAnsi="Arial"/>
      <w:spacing w:val="-1"/>
      <w:sz w:val="18"/>
      <w:szCs w:val="24"/>
      <w:lang w:val="en-GB" w:eastAsia="en-GB" w:bidi="ar-SA"/>
    </w:rPr>
  </w:style>
  <w:style w:type="paragraph" w:styleId="NormalGrey" w:customStyle="1">
    <w:name w:val="Normal Grey"/>
    <w:basedOn w:val="Normal"/>
    <w:rsid w:val="00D96911"/>
    <w:pPr>
      <w:spacing w:after="200" w:line="200" w:lineRule="exact"/>
      <w:jc w:val="left"/>
    </w:pPr>
    <w:rPr>
      <w:color w:val="808080"/>
      <w:spacing w:val="-1"/>
      <w:sz w:val="18"/>
      <w:szCs w:val="24"/>
    </w:rPr>
  </w:style>
  <w:style w:type="paragraph" w:styleId="Header">
    <w:name w:val="header"/>
    <w:basedOn w:val="Normal"/>
    <w:link w:val="HeaderChar"/>
    <w:rsid w:val="00FF679F"/>
    <w:pPr>
      <w:tabs>
        <w:tab w:val="center" w:pos="4153"/>
        <w:tab w:val="right" w:pos="8306"/>
      </w:tabs>
    </w:pPr>
  </w:style>
  <w:style w:type="paragraph" w:styleId="Footer">
    <w:name w:val="footer"/>
    <w:basedOn w:val="Normal"/>
    <w:rsid w:val="00FF679F"/>
    <w:pPr>
      <w:tabs>
        <w:tab w:val="center" w:pos="4153"/>
        <w:tab w:val="right" w:pos="8306"/>
      </w:tabs>
    </w:pPr>
  </w:style>
  <w:style w:type="paragraph" w:styleId="BalloonText">
    <w:name w:val="Balloon Text"/>
    <w:basedOn w:val="Normal"/>
    <w:semiHidden/>
    <w:rsid w:val="007E2452"/>
    <w:rPr>
      <w:rFonts w:ascii="Tahoma" w:hAnsi="Tahoma" w:cs="Tahoma"/>
      <w:sz w:val="16"/>
      <w:szCs w:val="16"/>
    </w:rPr>
  </w:style>
  <w:style w:type="character" w:styleId="PageNumber">
    <w:name w:val="page number"/>
    <w:basedOn w:val="DefaultParagraphFont"/>
    <w:rsid w:val="00925861"/>
  </w:style>
  <w:style w:type="paragraph" w:styleId="TableColHeadsBold" w:customStyle="1">
    <w:name w:val="TableColHeads Bold"/>
    <w:basedOn w:val="Normal"/>
    <w:link w:val="TableColHeadsBoldChar"/>
    <w:qFormat/>
    <w:rsid w:val="00FB3337"/>
    <w:pPr>
      <w:spacing w:before="20" w:after="20" w:line="150" w:lineRule="exact"/>
      <w:ind w:right="57"/>
      <w:jc w:val="right"/>
    </w:pPr>
    <w:rPr>
      <w:rFonts w:ascii="Delta BQ Medium" w:hAnsi="Delta BQ Medium"/>
      <w:bCs/>
      <w:spacing w:val="-1"/>
      <w:sz w:val="13"/>
      <w:szCs w:val="24"/>
    </w:rPr>
  </w:style>
  <w:style w:type="paragraph" w:styleId="TabletextBold" w:customStyle="1">
    <w:name w:val="Tabletext Bold"/>
    <w:basedOn w:val="Tabletext"/>
    <w:link w:val="TabletextBoldChar"/>
    <w:qFormat/>
    <w:rsid w:val="00FB3337"/>
    <w:pPr>
      <w:tabs>
        <w:tab w:val="clear" w:pos="142"/>
      </w:tabs>
    </w:pPr>
    <w:rPr>
      <w:rFonts w:ascii="Delta BQ Medium" w:hAnsi="Delta BQ Medium"/>
      <w:bCs/>
      <w:sz w:val="16"/>
    </w:rPr>
  </w:style>
  <w:style w:type="paragraph" w:styleId="TableFigures" w:customStyle="1">
    <w:name w:val="TableFigures"/>
    <w:basedOn w:val="Tabletext"/>
    <w:link w:val="TableFiguresChar"/>
    <w:qFormat/>
    <w:rsid w:val="00FB3337"/>
    <w:pPr>
      <w:tabs>
        <w:tab w:val="clear" w:pos="142"/>
      </w:tabs>
      <w:ind w:right="57"/>
      <w:jc w:val="right"/>
    </w:pPr>
    <w:rPr>
      <w:rFonts w:ascii="Delta BQ Light" w:hAnsi="Delta BQ Light"/>
      <w:sz w:val="16"/>
    </w:rPr>
  </w:style>
  <w:style w:type="character" w:styleId="TableFiguresChar" w:customStyle="1">
    <w:name w:val="TableFigures Char"/>
    <w:link w:val="TableFigures"/>
    <w:rsid w:val="00FB3337"/>
    <w:rPr>
      <w:rFonts w:ascii="Delta BQ Light" w:hAnsi="Delta BQ Light"/>
      <w:spacing w:val="-1"/>
      <w:sz w:val="16"/>
      <w:szCs w:val="24"/>
      <w:lang w:val="en-GB" w:eastAsia="en-GB" w:bidi="ar-SA"/>
    </w:rPr>
  </w:style>
  <w:style w:type="paragraph" w:styleId="TableFiguresBold" w:customStyle="1">
    <w:name w:val="TableFigures Bold"/>
    <w:basedOn w:val="Tabletext"/>
    <w:link w:val="TableFiguresBoldChar"/>
    <w:qFormat/>
    <w:rsid w:val="00FB3337"/>
    <w:pPr>
      <w:tabs>
        <w:tab w:val="clear" w:pos="142"/>
      </w:tabs>
      <w:ind w:right="57"/>
      <w:jc w:val="right"/>
    </w:pPr>
    <w:rPr>
      <w:rFonts w:ascii="Delta BQ Medium" w:hAnsi="Delta BQ Medium"/>
      <w:bCs/>
      <w:sz w:val="16"/>
    </w:rPr>
  </w:style>
  <w:style w:type="paragraph" w:styleId="TableFiguresBrackets" w:customStyle="1">
    <w:name w:val="TableFigures Brackets"/>
    <w:basedOn w:val="TableFigures"/>
    <w:link w:val="TableFiguresBracketsChar"/>
    <w:qFormat/>
    <w:rsid w:val="00FB3337"/>
    <w:pPr>
      <w:ind w:right="17"/>
    </w:pPr>
  </w:style>
  <w:style w:type="character" w:styleId="TableFiguresBracketsChar" w:customStyle="1">
    <w:name w:val="TableFigures Brackets Char"/>
    <w:basedOn w:val="TableFiguresChar"/>
    <w:link w:val="TableFiguresBrackets"/>
    <w:rsid w:val="00FB3337"/>
    <w:rPr>
      <w:rFonts w:ascii="Delta BQ Light" w:hAnsi="Delta BQ Light"/>
      <w:spacing w:val="-1"/>
      <w:sz w:val="16"/>
      <w:szCs w:val="24"/>
      <w:lang w:val="en-GB" w:eastAsia="en-GB" w:bidi="ar-SA"/>
    </w:rPr>
  </w:style>
  <w:style w:type="paragraph" w:styleId="TableFiguresBracketsBold" w:customStyle="1">
    <w:name w:val="TableFigures Brackets Bold"/>
    <w:basedOn w:val="TableFiguresBrackets"/>
    <w:link w:val="TableFiguresBracketsBoldChar"/>
    <w:qFormat/>
    <w:rsid w:val="00FB3337"/>
    <w:rPr>
      <w:rFonts w:ascii="Delta BQ Medium" w:hAnsi="Delta BQ Medium"/>
      <w:bCs/>
    </w:rPr>
  </w:style>
  <w:style w:type="character" w:styleId="TableFiguresBracketsBoldChar" w:customStyle="1">
    <w:name w:val="TableFigures Brackets Bold Char"/>
    <w:link w:val="TableFiguresBracketsBold"/>
    <w:rsid w:val="00FB3337"/>
    <w:rPr>
      <w:rFonts w:ascii="Delta BQ Medium" w:hAnsi="Delta BQ Medium"/>
      <w:bCs/>
      <w:spacing w:val="-1"/>
      <w:sz w:val="16"/>
      <w:szCs w:val="24"/>
      <w:lang w:val="en-GB" w:eastAsia="en-GB" w:bidi="ar-SA"/>
    </w:rPr>
  </w:style>
  <w:style w:type="paragraph" w:styleId="FootnotesNoSpace" w:customStyle="1">
    <w:name w:val="Footnotes NoSpace"/>
    <w:basedOn w:val="BodytextAfterTables"/>
    <w:link w:val="FootnotesNoSpaceChar"/>
    <w:rsid w:val="00FB3337"/>
    <w:pPr>
      <w:spacing w:before="0" w:after="80" w:line="160" w:lineRule="exact"/>
    </w:pPr>
    <w:rPr>
      <w:rFonts w:ascii="Delta BQ Light" w:hAnsi="Delta BQ Light"/>
      <w:sz w:val="14"/>
    </w:rPr>
  </w:style>
  <w:style w:type="character" w:styleId="FootnotesNoSpaceChar" w:customStyle="1">
    <w:name w:val="Footnotes NoSpace Char"/>
    <w:link w:val="FootnotesNoSpace"/>
    <w:rsid w:val="00FB3337"/>
    <w:rPr>
      <w:rFonts w:ascii="Delta BQ Light" w:hAnsi="Delta BQ Light"/>
      <w:spacing w:val="-1"/>
      <w:sz w:val="14"/>
      <w:szCs w:val="24"/>
      <w:lang w:val="en-GB" w:eastAsia="en-GB" w:bidi="ar-SA"/>
    </w:rPr>
  </w:style>
  <w:style w:type="paragraph" w:styleId="FootnotesSpaceBefore" w:customStyle="1">
    <w:name w:val="Footnotes SpaceBefore"/>
    <w:basedOn w:val="FootnotesNoSpace"/>
    <w:link w:val="FootnotesSpaceBeforeChar"/>
    <w:rsid w:val="00FB3337"/>
    <w:pPr>
      <w:tabs>
        <w:tab w:val="left" w:pos="113"/>
      </w:tabs>
      <w:spacing w:before="80"/>
    </w:pPr>
    <w:rPr>
      <w:szCs w:val="20"/>
    </w:rPr>
  </w:style>
  <w:style w:type="character" w:styleId="FootnotesSpaceBeforeChar" w:customStyle="1">
    <w:name w:val="Footnotes SpaceBefore Char"/>
    <w:basedOn w:val="FootnotesNoSpaceChar"/>
    <w:link w:val="FootnotesSpaceBefore"/>
    <w:rsid w:val="00FB3337"/>
    <w:rPr>
      <w:rFonts w:ascii="Delta BQ Light" w:hAnsi="Delta BQ Light"/>
      <w:spacing w:val="-1"/>
      <w:sz w:val="14"/>
      <w:szCs w:val="24"/>
      <w:lang w:val="en-GB" w:eastAsia="en-GB" w:bidi="ar-SA"/>
    </w:rPr>
  </w:style>
  <w:style w:type="paragraph" w:styleId="TableColHeadsCenteredBold" w:customStyle="1">
    <w:name w:val="TableColHeads CenteredBold"/>
    <w:basedOn w:val="Normal"/>
    <w:rsid w:val="00FB3337"/>
    <w:pPr>
      <w:spacing w:before="20" w:after="20" w:line="150" w:lineRule="exact"/>
      <w:ind w:left="284" w:right="57"/>
      <w:jc w:val="center"/>
    </w:pPr>
    <w:rPr>
      <w:rFonts w:ascii="Delta BQ Medium" w:hAnsi="Delta BQ Medium"/>
      <w:sz w:val="13"/>
    </w:rPr>
  </w:style>
  <w:style w:type="paragraph" w:styleId="TabletextRed" w:customStyle="1">
    <w:name w:val="Tabletext Red"/>
    <w:basedOn w:val="TableFiguresBold"/>
    <w:rsid w:val="00FB3337"/>
    <w:pPr>
      <w:jc w:val="left"/>
    </w:pPr>
    <w:rPr>
      <w:rFonts w:ascii="Delta BQ Book" w:hAnsi="Delta BQ Book"/>
      <w:bCs w:val="0"/>
      <w:color w:val="FF0000"/>
      <w:szCs w:val="20"/>
    </w:rPr>
  </w:style>
  <w:style w:type="character" w:styleId="Strong">
    <w:name w:val="Strong"/>
    <w:qFormat/>
    <w:rsid w:val="008B4AB2"/>
    <w:rPr>
      <w:b/>
      <w:bCs/>
    </w:rPr>
  </w:style>
  <w:style w:type="paragraph" w:styleId="TableColHeads" w:customStyle="1">
    <w:name w:val="TableColHeads"/>
    <w:basedOn w:val="Normal"/>
    <w:link w:val="TableColHeadsChar"/>
    <w:rsid w:val="00334C2E"/>
    <w:pPr>
      <w:spacing w:before="10" w:after="10" w:line="160" w:lineRule="exact"/>
      <w:ind w:right="57"/>
      <w:jc w:val="right"/>
    </w:pPr>
    <w:rPr>
      <w:spacing w:val="-1"/>
      <w:sz w:val="14"/>
      <w:szCs w:val="24"/>
    </w:rPr>
  </w:style>
  <w:style w:type="character" w:styleId="TableColHeadsChar" w:customStyle="1">
    <w:name w:val="TableColHeads Char"/>
    <w:link w:val="TableColHeads"/>
    <w:rsid w:val="00334C2E"/>
    <w:rPr>
      <w:rFonts w:ascii="Arial" w:hAnsi="Arial"/>
      <w:spacing w:val="-1"/>
      <w:sz w:val="14"/>
      <w:szCs w:val="24"/>
      <w:lang w:val="en-GB" w:eastAsia="en-GB" w:bidi="ar-SA"/>
    </w:rPr>
  </w:style>
  <w:style w:type="character" w:styleId="TableColHeadsBoldChar" w:customStyle="1">
    <w:name w:val="TableColHeads Bold Char"/>
    <w:link w:val="TableColHeadsBold"/>
    <w:rsid w:val="00334C2E"/>
    <w:rPr>
      <w:rFonts w:ascii="Delta BQ Medium" w:hAnsi="Delta BQ Medium"/>
      <w:bCs/>
      <w:spacing w:val="-1"/>
      <w:sz w:val="13"/>
      <w:szCs w:val="24"/>
      <w:lang w:val="en-GB" w:eastAsia="en-GB" w:bidi="ar-SA"/>
    </w:rPr>
  </w:style>
  <w:style w:type="paragraph" w:styleId="TableColHeadsCentered" w:customStyle="1">
    <w:name w:val="TableColHeads Centered"/>
    <w:basedOn w:val="TableColHeads"/>
    <w:autoRedefine/>
    <w:rsid w:val="00334C2E"/>
    <w:pPr>
      <w:ind w:left="454" w:right="0"/>
      <w:jc w:val="center"/>
    </w:pPr>
    <w:rPr>
      <w:szCs w:val="20"/>
    </w:rPr>
  </w:style>
  <w:style w:type="character" w:styleId="TabletextBoldChar" w:customStyle="1">
    <w:name w:val="Tabletext Bold Char"/>
    <w:link w:val="TabletextBold"/>
    <w:rsid w:val="00334C2E"/>
    <w:rPr>
      <w:rFonts w:ascii="Delta BQ Medium" w:hAnsi="Delta BQ Medium"/>
      <w:bCs/>
      <w:spacing w:val="-1"/>
      <w:sz w:val="16"/>
      <w:szCs w:val="24"/>
      <w:lang w:val="en-GB" w:eastAsia="en-GB" w:bidi="ar-SA"/>
    </w:rPr>
  </w:style>
  <w:style w:type="character" w:styleId="TableFiguresBoldChar" w:customStyle="1">
    <w:name w:val="TableFigures Bold Char"/>
    <w:link w:val="TableFiguresBold"/>
    <w:rsid w:val="00334C2E"/>
    <w:rPr>
      <w:rFonts w:ascii="Delta BQ Medium" w:hAnsi="Delta BQ Medium"/>
      <w:bCs/>
      <w:spacing w:val="-1"/>
      <w:sz w:val="16"/>
      <w:szCs w:val="24"/>
      <w:lang w:val="en-GB" w:eastAsia="en-GB" w:bidi="ar-SA"/>
    </w:rPr>
  </w:style>
  <w:style w:type="character" w:styleId="HeaderChar" w:customStyle="1">
    <w:name w:val="Header Char"/>
    <w:link w:val="Header"/>
    <w:rsid w:val="00540334"/>
    <w:rPr>
      <w:rFonts w:ascii="Arial" w:hAnsi="Arial"/>
      <w:lang w:val="en-GB" w:eastAsia="en-GB" w:bidi="ar-SA"/>
    </w:rPr>
  </w:style>
  <w:style w:type="character" w:styleId="CommentReference">
    <w:name w:val="annotation reference"/>
    <w:uiPriority w:val="99"/>
    <w:semiHidden/>
    <w:rsid w:val="00AF507E"/>
    <w:rPr>
      <w:sz w:val="16"/>
      <w:szCs w:val="16"/>
    </w:rPr>
  </w:style>
  <w:style w:type="paragraph" w:styleId="CommentText">
    <w:name w:val="annotation text"/>
    <w:basedOn w:val="Normal"/>
    <w:link w:val="CommentTextChar"/>
    <w:uiPriority w:val="99"/>
    <w:semiHidden/>
    <w:rsid w:val="00AF507E"/>
  </w:style>
  <w:style w:type="paragraph" w:styleId="CommentSubject">
    <w:name w:val="annotation subject"/>
    <w:basedOn w:val="CommentText"/>
    <w:next w:val="CommentText"/>
    <w:semiHidden/>
    <w:rsid w:val="00AF507E"/>
    <w:rPr>
      <w:b/>
      <w:bCs/>
    </w:rPr>
  </w:style>
  <w:style w:type="paragraph" w:styleId="ColorfulList-Accent11" w:customStyle="1">
    <w:name w:val="Colorful List - Accent 11"/>
    <w:basedOn w:val="Normal"/>
    <w:uiPriority w:val="34"/>
    <w:qFormat/>
    <w:rsid w:val="00D31EFB"/>
    <w:pPr>
      <w:ind w:left="720"/>
    </w:pPr>
  </w:style>
  <w:style w:type="paragraph" w:styleId="ColorfulShading-Accent11" w:customStyle="1">
    <w:name w:val="Colorful Shading - Accent 11"/>
    <w:hidden/>
    <w:uiPriority w:val="99"/>
    <w:semiHidden/>
    <w:rsid w:val="007E7939"/>
    <w:rPr>
      <w:rFonts w:ascii="Arial" w:hAnsi="Arial"/>
    </w:rPr>
  </w:style>
  <w:style w:type="paragraph" w:styleId="Revision">
    <w:name w:val="Revision"/>
    <w:hidden/>
    <w:uiPriority w:val="99"/>
    <w:semiHidden/>
    <w:rsid w:val="00CD7733"/>
    <w:rPr>
      <w:rFonts w:ascii="Arial" w:hAnsi="Arial"/>
    </w:rPr>
  </w:style>
  <w:style w:type="paragraph" w:styleId="BodytextMainstyles" w:customStyle="1">
    <w:name w:val="Bodytext (Main styles)"/>
    <w:basedOn w:val="Normal"/>
    <w:uiPriority w:val="99"/>
    <w:rsid w:val="001C2C9A"/>
    <w:pPr>
      <w:tabs>
        <w:tab w:val="left" w:pos="142"/>
        <w:tab w:val="left" w:pos="227"/>
      </w:tabs>
      <w:suppressAutoHyphens/>
      <w:autoSpaceDE w:val="0"/>
      <w:autoSpaceDN w:val="0"/>
      <w:adjustRightInd w:val="0"/>
      <w:spacing w:after="115" w:line="210" w:lineRule="atLeast"/>
      <w:jc w:val="left"/>
      <w:textAlignment w:val="center"/>
    </w:pPr>
    <w:rPr>
      <w:rFonts w:ascii="Delta BQ Light" w:hAnsi="Delta BQ Light" w:cs="Delta BQ Light"/>
      <w:color w:val="000000"/>
      <w:spacing w:val="-3"/>
      <w:sz w:val="17"/>
      <w:szCs w:val="17"/>
    </w:rPr>
  </w:style>
  <w:style w:type="paragraph" w:styleId="EnvelopeAddress">
    <w:name w:val="envelope address"/>
    <w:basedOn w:val="Normal"/>
    <w:rsid w:val="008E1EBD"/>
    <w:pPr>
      <w:framePr w:w="7920" w:h="1980" w:hSpace="180" w:wrap="auto" w:hAnchor="page" w:xAlign="center" w:yAlign="bottom" w:hRule="exact"/>
      <w:spacing w:after="200" w:line="200" w:lineRule="exact"/>
      <w:ind w:left="2880"/>
      <w:jc w:val="left"/>
    </w:pPr>
    <w:rPr>
      <w:rFonts w:ascii="Comic Sans MS" w:hAnsi="Comic Sans MS" w:cs="Arial"/>
      <w:b/>
      <w:spacing w:val="-1"/>
      <w:sz w:val="22"/>
      <w:szCs w:val="24"/>
    </w:rPr>
  </w:style>
  <w:style w:type="paragraph" w:styleId="ListParagraph">
    <w:name w:val="List Paragraph"/>
    <w:basedOn w:val="Normal"/>
    <w:uiPriority w:val="34"/>
    <w:qFormat/>
    <w:rsid w:val="004C3F32"/>
    <w:pPr>
      <w:ind w:left="720"/>
      <w:contextualSpacing/>
    </w:pPr>
  </w:style>
  <w:style w:type="paragraph" w:styleId="Normal1" w:customStyle="1">
    <w:name w:val="Normal1"/>
    <w:basedOn w:val="Normal"/>
    <w:link w:val="Normal1Char"/>
    <w:qFormat/>
    <w:rsid w:val="00D93FCB"/>
    <w:pPr>
      <w:spacing w:after="120" w:line="276" w:lineRule="auto"/>
    </w:pPr>
    <w:rPr>
      <w:spacing w:val="-1"/>
      <w:szCs w:val="24"/>
    </w:rPr>
  </w:style>
  <w:style w:type="character" w:styleId="s6" w:customStyle="1">
    <w:name w:val="s6"/>
    <w:basedOn w:val="DefaultParagraphFont"/>
    <w:rsid w:val="00021FA6"/>
  </w:style>
  <w:style w:type="paragraph" w:styleId="Bibliography">
    <w:name w:val="Bibliography"/>
    <w:basedOn w:val="Normal"/>
    <w:next w:val="Normal"/>
    <w:uiPriority w:val="37"/>
    <w:semiHidden/>
    <w:unhideWhenUsed/>
    <w:rsid w:val="009261A7"/>
  </w:style>
  <w:style w:type="paragraph" w:styleId="BlockText">
    <w:name w:val="Block Text"/>
    <w:basedOn w:val="Normal"/>
    <w:semiHidden/>
    <w:unhideWhenUsed/>
    <w:rsid w:val="009261A7"/>
    <w:pPr>
      <w:pBdr>
        <w:top w:val="single" w:color="5B9BD5" w:themeColor="accent1" w:sz="2" w:space="10" w:frame="1"/>
        <w:left w:val="single" w:color="5B9BD5" w:themeColor="accent1" w:sz="2" w:space="10" w:frame="1"/>
        <w:bottom w:val="single" w:color="5B9BD5" w:themeColor="accent1" w:sz="2" w:space="10" w:frame="1"/>
        <w:right w:val="single" w:color="5B9BD5" w:themeColor="accent1" w:sz="2" w:space="10" w:frame="1"/>
      </w:pBdr>
      <w:ind w:left="1152" w:right="1152"/>
    </w:pPr>
    <w:rPr>
      <w:rFonts w:asciiTheme="minorHAnsi" w:hAnsiTheme="minorHAnsi" w:eastAsiaTheme="minorEastAsia" w:cstheme="minorBidi"/>
      <w:i/>
      <w:iCs/>
      <w:color w:val="5B9BD5" w:themeColor="accent1"/>
    </w:rPr>
  </w:style>
  <w:style w:type="paragraph" w:styleId="BodyText">
    <w:name w:val="Body Text"/>
    <w:basedOn w:val="Normal"/>
    <w:link w:val="BodyTextChar"/>
    <w:semiHidden/>
    <w:unhideWhenUsed/>
    <w:rsid w:val="009261A7"/>
    <w:pPr>
      <w:spacing w:after="120"/>
    </w:pPr>
  </w:style>
  <w:style w:type="character" w:styleId="BodyTextChar" w:customStyle="1">
    <w:name w:val="Body Text Char"/>
    <w:basedOn w:val="DefaultParagraphFont"/>
    <w:link w:val="BodyText"/>
    <w:semiHidden/>
    <w:rsid w:val="009261A7"/>
    <w:rPr>
      <w:rFonts w:ascii="Arial" w:hAnsi="Arial"/>
    </w:rPr>
  </w:style>
  <w:style w:type="paragraph" w:styleId="BodyText2">
    <w:name w:val="Body Text 2"/>
    <w:basedOn w:val="Normal"/>
    <w:link w:val="BodyText2Char"/>
    <w:semiHidden/>
    <w:unhideWhenUsed/>
    <w:rsid w:val="009261A7"/>
    <w:pPr>
      <w:spacing w:after="120" w:line="480" w:lineRule="auto"/>
    </w:pPr>
  </w:style>
  <w:style w:type="character" w:styleId="BodyText2Char" w:customStyle="1">
    <w:name w:val="Body Text 2 Char"/>
    <w:basedOn w:val="DefaultParagraphFont"/>
    <w:link w:val="BodyText2"/>
    <w:semiHidden/>
    <w:rsid w:val="009261A7"/>
    <w:rPr>
      <w:rFonts w:ascii="Arial" w:hAnsi="Arial"/>
    </w:rPr>
  </w:style>
  <w:style w:type="paragraph" w:styleId="BodyText3">
    <w:name w:val="Body Text 3"/>
    <w:basedOn w:val="Normal"/>
    <w:link w:val="BodyText3Char"/>
    <w:semiHidden/>
    <w:unhideWhenUsed/>
    <w:rsid w:val="009261A7"/>
    <w:pPr>
      <w:spacing w:after="120"/>
    </w:pPr>
    <w:rPr>
      <w:sz w:val="16"/>
      <w:szCs w:val="16"/>
    </w:rPr>
  </w:style>
  <w:style w:type="character" w:styleId="BodyText3Char" w:customStyle="1">
    <w:name w:val="Body Text 3 Char"/>
    <w:basedOn w:val="DefaultParagraphFont"/>
    <w:link w:val="BodyText3"/>
    <w:semiHidden/>
    <w:rsid w:val="009261A7"/>
    <w:rPr>
      <w:rFonts w:ascii="Arial" w:hAnsi="Arial"/>
      <w:sz w:val="16"/>
      <w:szCs w:val="16"/>
    </w:rPr>
  </w:style>
  <w:style w:type="paragraph" w:styleId="BodyTextFirstIndent">
    <w:name w:val="Body Text First Indent"/>
    <w:basedOn w:val="BodyText"/>
    <w:link w:val="BodyTextFirstIndentChar"/>
    <w:rsid w:val="009261A7"/>
    <w:pPr>
      <w:spacing w:after="0"/>
      <w:ind w:firstLine="360"/>
    </w:pPr>
  </w:style>
  <w:style w:type="character" w:styleId="BodyTextFirstIndentChar" w:customStyle="1">
    <w:name w:val="Body Text First Indent Char"/>
    <w:basedOn w:val="BodyTextChar"/>
    <w:link w:val="BodyTextFirstIndent"/>
    <w:rsid w:val="009261A7"/>
    <w:rPr>
      <w:rFonts w:ascii="Arial" w:hAnsi="Arial"/>
    </w:rPr>
  </w:style>
  <w:style w:type="paragraph" w:styleId="BodyTextIndent">
    <w:name w:val="Body Text Indent"/>
    <w:basedOn w:val="Normal"/>
    <w:link w:val="BodyTextIndentChar"/>
    <w:semiHidden/>
    <w:unhideWhenUsed/>
    <w:rsid w:val="009261A7"/>
    <w:pPr>
      <w:spacing w:after="120"/>
      <w:ind w:left="283"/>
    </w:pPr>
  </w:style>
  <w:style w:type="character" w:styleId="BodyTextIndentChar" w:customStyle="1">
    <w:name w:val="Body Text Indent Char"/>
    <w:basedOn w:val="DefaultParagraphFont"/>
    <w:link w:val="BodyTextIndent"/>
    <w:semiHidden/>
    <w:rsid w:val="009261A7"/>
    <w:rPr>
      <w:rFonts w:ascii="Arial" w:hAnsi="Arial"/>
    </w:rPr>
  </w:style>
  <w:style w:type="paragraph" w:styleId="BodyTextFirstIndent2">
    <w:name w:val="Body Text First Indent 2"/>
    <w:basedOn w:val="BodyTextIndent"/>
    <w:link w:val="BodyTextFirstIndent2Char"/>
    <w:semiHidden/>
    <w:unhideWhenUsed/>
    <w:rsid w:val="009261A7"/>
    <w:pPr>
      <w:spacing w:after="0"/>
      <w:ind w:left="360" w:firstLine="360"/>
    </w:pPr>
  </w:style>
  <w:style w:type="character" w:styleId="BodyTextFirstIndent2Char" w:customStyle="1">
    <w:name w:val="Body Text First Indent 2 Char"/>
    <w:basedOn w:val="BodyTextIndentChar"/>
    <w:link w:val="BodyTextFirstIndent2"/>
    <w:semiHidden/>
    <w:rsid w:val="009261A7"/>
    <w:rPr>
      <w:rFonts w:ascii="Arial" w:hAnsi="Arial"/>
    </w:rPr>
  </w:style>
  <w:style w:type="paragraph" w:styleId="BodyTextIndent2">
    <w:name w:val="Body Text Indent 2"/>
    <w:basedOn w:val="Normal"/>
    <w:link w:val="BodyTextIndent2Char"/>
    <w:semiHidden/>
    <w:unhideWhenUsed/>
    <w:rsid w:val="009261A7"/>
    <w:pPr>
      <w:spacing w:after="120" w:line="480" w:lineRule="auto"/>
      <w:ind w:left="283"/>
    </w:pPr>
  </w:style>
  <w:style w:type="character" w:styleId="BodyTextIndent2Char" w:customStyle="1">
    <w:name w:val="Body Text Indent 2 Char"/>
    <w:basedOn w:val="DefaultParagraphFont"/>
    <w:link w:val="BodyTextIndent2"/>
    <w:semiHidden/>
    <w:rsid w:val="009261A7"/>
    <w:rPr>
      <w:rFonts w:ascii="Arial" w:hAnsi="Arial"/>
    </w:rPr>
  </w:style>
  <w:style w:type="paragraph" w:styleId="BodyTextIndent3">
    <w:name w:val="Body Text Indent 3"/>
    <w:basedOn w:val="Normal"/>
    <w:link w:val="BodyTextIndent3Char"/>
    <w:semiHidden/>
    <w:unhideWhenUsed/>
    <w:rsid w:val="009261A7"/>
    <w:pPr>
      <w:spacing w:after="120"/>
      <w:ind w:left="283"/>
    </w:pPr>
    <w:rPr>
      <w:sz w:val="16"/>
      <w:szCs w:val="16"/>
    </w:rPr>
  </w:style>
  <w:style w:type="character" w:styleId="BodyTextIndent3Char" w:customStyle="1">
    <w:name w:val="Body Text Indent 3 Char"/>
    <w:basedOn w:val="DefaultParagraphFont"/>
    <w:link w:val="BodyTextIndent3"/>
    <w:semiHidden/>
    <w:rsid w:val="009261A7"/>
    <w:rPr>
      <w:rFonts w:ascii="Arial" w:hAnsi="Arial"/>
      <w:sz w:val="16"/>
      <w:szCs w:val="16"/>
    </w:rPr>
  </w:style>
  <w:style w:type="paragraph" w:styleId="Caption">
    <w:name w:val="caption"/>
    <w:basedOn w:val="Normal"/>
    <w:next w:val="Normal"/>
    <w:semiHidden/>
    <w:unhideWhenUsed/>
    <w:qFormat/>
    <w:rsid w:val="009261A7"/>
    <w:pPr>
      <w:spacing w:after="200"/>
    </w:pPr>
    <w:rPr>
      <w:b/>
      <w:bCs/>
      <w:color w:val="5B9BD5" w:themeColor="accent1"/>
      <w:sz w:val="18"/>
      <w:szCs w:val="18"/>
    </w:rPr>
  </w:style>
  <w:style w:type="paragraph" w:styleId="Closing">
    <w:name w:val="Closing"/>
    <w:basedOn w:val="Normal"/>
    <w:link w:val="ClosingChar"/>
    <w:semiHidden/>
    <w:unhideWhenUsed/>
    <w:rsid w:val="009261A7"/>
    <w:pPr>
      <w:ind w:left="4252"/>
    </w:pPr>
  </w:style>
  <w:style w:type="character" w:styleId="ClosingChar" w:customStyle="1">
    <w:name w:val="Closing Char"/>
    <w:basedOn w:val="DefaultParagraphFont"/>
    <w:link w:val="Closing"/>
    <w:semiHidden/>
    <w:rsid w:val="009261A7"/>
    <w:rPr>
      <w:rFonts w:ascii="Arial" w:hAnsi="Arial"/>
    </w:rPr>
  </w:style>
  <w:style w:type="paragraph" w:styleId="Date">
    <w:name w:val="Date"/>
    <w:basedOn w:val="Normal"/>
    <w:next w:val="Normal"/>
    <w:link w:val="DateChar"/>
    <w:rsid w:val="009261A7"/>
  </w:style>
  <w:style w:type="character" w:styleId="DateChar" w:customStyle="1">
    <w:name w:val="Date Char"/>
    <w:basedOn w:val="DefaultParagraphFont"/>
    <w:link w:val="Date"/>
    <w:rsid w:val="009261A7"/>
    <w:rPr>
      <w:rFonts w:ascii="Arial" w:hAnsi="Arial"/>
    </w:rPr>
  </w:style>
  <w:style w:type="paragraph" w:styleId="DocumentMap">
    <w:name w:val="Document Map"/>
    <w:basedOn w:val="Normal"/>
    <w:link w:val="DocumentMapChar"/>
    <w:semiHidden/>
    <w:unhideWhenUsed/>
    <w:rsid w:val="009261A7"/>
    <w:rPr>
      <w:rFonts w:ascii="Tahoma" w:hAnsi="Tahoma" w:cs="Tahoma"/>
      <w:sz w:val="16"/>
      <w:szCs w:val="16"/>
    </w:rPr>
  </w:style>
  <w:style w:type="character" w:styleId="DocumentMapChar" w:customStyle="1">
    <w:name w:val="Document Map Char"/>
    <w:basedOn w:val="DefaultParagraphFont"/>
    <w:link w:val="DocumentMap"/>
    <w:semiHidden/>
    <w:rsid w:val="009261A7"/>
    <w:rPr>
      <w:rFonts w:ascii="Tahoma" w:hAnsi="Tahoma" w:cs="Tahoma"/>
      <w:sz w:val="16"/>
      <w:szCs w:val="16"/>
    </w:rPr>
  </w:style>
  <w:style w:type="paragraph" w:styleId="EmailSignature">
    <w:name w:val="E-mail Signature"/>
    <w:basedOn w:val="Normal"/>
    <w:link w:val="EmailSignatureChar"/>
    <w:semiHidden/>
    <w:unhideWhenUsed/>
    <w:rsid w:val="009261A7"/>
  </w:style>
  <w:style w:type="character" w:styleId="EmailSignatureChar" w:customStyle="1">
    <w:name w:val="Email Signature Char"/>
    <w:basedOn w:val="DefaultParagraphFont"/>
    <w:link w:val="EmailSignature"/>
    <w:semiHidden/>
    <w:rsid w:val="009261A7"/>
    <w:rPr>
      <w:rFonts w:ascii="Arial" w:hAnsi="Arial"/>
    </w:rPr>
  </w:style>
  <w:style w:type="paragraph" w:styleId="EndnoteText">
    <w:name w:val="endnote text"/>
    <w:basedOn w:val="Normal"/>
    <w:link w:val="EndnoteTextChar"/>
    <w:semiHidden/>
    <w:unhideWhenUsed/>
    <w:rsid w:val="009261A7"/>
  </w:style>
  <w:style w:type="character" w:styleId="EndnoteTextChar" w:customStyle="1">
    <w:name w:val="Endnote Text Char"/>
    <w:basedOn w:val="DefaultParagraphFont"/>
    <w:link w:val="EndnoteText"/>
    <w:semiHidden/>
    <w:rsid w:val="009261A7"/>
    <w:rPr>
      <w:rFonts w:ascii="Arial" w:hAnsi="Arial"/>
    </w:rPr>
  </w:style>
  <w:style w:type="paragraph" w:styleId="EnvelopeReturn">
    <w:name w:val="envelope return"/>
    <w:basedOn w:val="Normal"/>
    <w:semiHidden/>
    <w:unhideWhenUsed/>
    <w:rsid w:val="009261A7"/>
    <w:rPr>
      <w:rFonts w:asciiTheme="majorHAnsi" w:hAnsiTheme="majorHAnsi" w:eastAsiaTheme="majorEastAsia" w:cstheme="majorBidi"/>
    </w:rPr>
  </w:style>
  <w:style w:type="character" w:styleId="Heading4Char" w:customStyle="1">
    <w:name w:val="Heading 4 Char"/>
    <w:basedOn w:val="DefaultParagraphFont"/>
    <w:link w:val="Heading4"/>
    <w:semiHidden/>
    <w:rsid w:val="009261A7"/>
    <w:rPr>
      <w:rFonts w:asciiTheme="majorHAnsi" w:hAnsiTheme="majorHAnsi" w:eastAsiaTheme="majorEastAsia" w:cstheme="majorBidi"/>
      <w:b/>
      <w:bCs/>
      <w:i/>
      <w:iCs/>
      <w:color w:val="5B9BD5" w:themeColor="accent1"/>
    </w:rPr>
  </w:style>
  <w:style w:type="character" w:styleId="Heading5Char" w:customStyle="1">
    <w:name w:val="Heading 5 Char"/>
    <w:basedOn w:val="DefaultParagraphFont"/>
    <w:link w:val="Heading5"/>
    <w:semiHidden/>
    <w:rsid w:val="009261A7"/>
    <w:rPr>
      <w:rFonts w:asciiTheme="majorHAnsi" w:hAnsiTheme="majorHAnsi" w:eastAsiaTheme="majorEastAsia" w:cstheme="majorBidi"/>
      <w:color w:val="1F4D78" w:themeColor="accent1" w:themeShade="7F"/>
    </w:rPr>
  </w:style>
  <w:style w:type="character" w:styleId="Heading6Char" w:customStyle="1">
    <w:name w:val="Heading 6 Char"/>
    <w:basedOn w:val="DefaultParagraphFont"/>
    <w:link w:val="Heading6"/>
    <w:semiHidden/>
    <w:rsid w:val="009261A7"/>
    <w:rPr>
      <w:rFonts w:asciiTheme="majorHAnsi" w:hAnsiTheme="majorHAnsi" w:eastAsiaTheme="majorEastAsia" w:cstheme="majorBidi"/>
      <w:i/>
      <w:iCs/>
      <w:color w:val="1F4D78" w:themeColor="accent1" w:themeShade="7F"/>
    </w:rPr>
  </w:style>
  <w:style w:type="character" w:styleId="Heading7Char" w:customStyle="1">
    <w:name w:val="Heading 7 Char"/>
    <w:basedOn w:val="DefaultParagraphFont"/>
    <w:link w:val="Heading7"/>
    <w:semiHidden/>
    <w:rsid w:val="009261A7"/>
    <w:rPr>
      <w:rFonts w:asciiTheme="majorHAnsi" w:hAnsiTheme="majorHAnsi" w:eastAsiaTheme="majorEastAsia" w:cstheme="majorBidi"/>
      <w:i/>
      <w:iCs/>
      <w:color w:val="404040" w:themeColor="text1" w:themeTint="BF"/>
    </w:rPr>
  </w:style>
  <w:style w:type="character" w:styleId="Heading8Char" w:customStyle="1">
    <w:name w:val="Heading 8 Char"/>
    <w:basedOn w:val="DefaultParagraphFont"/>
    <w:link w:val="Heading8"/>
    <w:semiHidden/>
    <w:rsid w:val="009261A7"/>
    <w:rPr>
      <w:rFonts w:asciiTheme="majorHAnsi" w:hAnsiTheme="majorHAnsi" w:eastAsiaTheme="majorEastAsia" w:cstheme="majorBidi"/>
      <w:color w:val="404040" w:themeColor="text1" w:themeTint="BF"/>
    </w:rPr>
  </w:style>
  <w:style w:type="character" w:styleId="Heading9Char" w:customStyle="1">
    <w:name w:val="Heading 9 Char"/>
    <w:basedOn w:val="DefaultParagraphFont"/>
    <w:link w:val="Heading9"/>
    <w:semiHidden/>
    <w:rsid w:val="009261A7"/>
    <w:rPr>
      <w:rFonts w:asciiTheme="majorHAnsi" w:hAnsiTheme="majorHAnsi" w:eastAsiaTheme="majorEastAsia" w:cstheme="majorBidi"/>
      <w:i/>
      <w:iCs/>
      <w:color w:val="404040" w:themeColor="text1" w:themeTint="BF"/>
    </w:rPr>
  </w:style>
  <w:style w:type="paragraph" w:styleId="HTMLAddress">
    <w:name w:val="HTML Address"/>
    <w:basedOn w:val="Normal"/>
    <w:link w:val="HTMLAddressChar"/>
    <w:semiHidden/>
    <w:unhideWhenUsed/>
    <w:rsid w:val="009261A7"/>
    <w:rPr>
      <w:i/>
      <w:iCs/>
    </w:rPr>
  </w:style>
  <w:style w:type="character" w:styleId="HTMLAddressChar" w:customStyle="1">
    <w:name w:val="HTML Address Char"/>
    <w:basedOn w:val="DefaultParagraphFont"/>
    <w:link w:val="HTMLAddress"/>
    <w:semiHidden/>
    <w:rsid w:val="009261A7"/>
    <w:rPr>
      <w:rFonts w:ascii="Arial" w:hAnsi="Arial"/>
      <w:i/>
      <w:iCs/>
    </w:rPr>
  </w:style>
  <w:style w:type="paragraph" w:styleId="HTMLPreformatted">
    <w:name w:val="HTML Preformatted"/>
    <w:basedOn w:val="Normal"/>
    <w:link w:val="HTMLPreformattedChar"/>
    <w:semiHidden/>
    <w:unhideWhenUsed/>
    <w:rsid w:val="009261A7"/>
    <w:rPr>
      <w:rFonts w:ascii="Consolas" w:hAnsi="Consolas"/>
    </w:rPr>
  </w:style>
  <w:style w:type="character" w:styleId="HTMLPreformattedChar" w:customStyle="1">
    <w:name w:val="HTML Preformatted Char"/>
    <w:basedOn w:val="DefaultParagraphFont"/>
    <w:link w:val="HTMLPreformatted"/>
    <w:semiHidden/>
    <w:rsid w:val="009261A7"/>
    <w:rPr>
      <w:rFonts w:ascii="Consolas" w:hAnsi="Consolas"/>
    </w:rPr>
  </w:style>
  <w:style w:type="paragraph" w:styleId="Index1">
    <w:name w:val="index 1"/>
    <w:basedOn w:val="Normal"/>
    <w:next w:val="Normal"/>
    <w:autoRedefine/>
    <w:semiHidden/>
    <w:unhideWhenUsed/>
    <w:rsid w:val="009261A7"/>
    <w:pPr>
      <w:ind w:left="200" w:hanging="200"/>
    </w:pPr>
  </w:style>
  <w:style w:type="paragraph" w:styleId="Index2">
    <w:name w:val="index 2"/>
    <w:basedOn w:val="Normal"/>
    <w:next w:val="Normal"/>
    <w:autoRedefine/>
    <w:semiHidden/>
    <w:unhideWhenUsed/>
    <w:rsid w:val="009261A7"/>
    <w:pPr>
      <w:ind w:left="400" w:hanging="200"/>
    </w:pPr>
  </w:style>
  <w:style w:type="paragraph" w:styleId="Index3">
    <w:name w:val="index 3"/>
    <w:basedOn w:val="Normal"/>
    <w:next w:val="Normal"/>
    <w:autoRedefine/>
    <w:semiHidden/>
    <w:unhideWhenUsed/>
    <w:rsid w:val="009261A7"/>
    <w:pPr>
      <w:ind w:left="600" w:hanging="200"/>
    </w:pPr>
  </w:style>
  <w:style w:type="paragraph" w:styleId="Index4">
    <w:name w:val="index 4"/>
    <w:basedOn w:val="Normal"/>
    <w:next w:val="Normal"/>
    <w:autoRedefine/>
    <w:semiHidden/>
    <w:unhideWhenUsed/>
    <w:rsid w:val="009261A7"/>
    <w:pPr>
      <w:ind w:left="800" w:hanging="200"/>
    </w:pPr>
  </w:style>
  <w:style w:type="paragraph" w:styleId="Index5">
    <w:name w:val="index 5"/>
    <w:basedOn w:val="Normal"/>
    <w:next w:val="Normal"/>
    <w:autoRedefine/>
    <w:semiHidden/>
    <w:unhideWhenUsed/>
    <w:rsid w:val="009261A7"/>
    <w:pPr>
      <w:ind w:left="1000" w:hanging="200"/>
    </w:pPr>
  </w:style>
  <w:style w:type="paragraph" w:styleId="Index6">
    <w:name w:val="index 6"/>
    <w:basedOn w:val="Normal"/>
    <w:next w:val="Normal"/>
    <w:autoRedefine/>
    <w:semiHidden/>
    <w:unhideWhenUsed/>
    <w:rsid w:val="009261A7"/>
    <w:pPr>
      <w:ind w:left="1200" w:hanging="200"/>
    </w:pPr>
  </w:style>
  <w:style w:type="paragraph" w:styleId="Index7">
    <w:name w:val="index 7"/>
    <w:basedOn w:val="Normal"/>
    <w:next w:val="Normal"/>
    <w:autoRedefine/>
    <w:semiHidden/>
    <w:unhideWhenUsed/>
    <w:rsid w:val="009261A7"/>
    <w:pPr>
      <w:ind w:left="1400" w:hanging="200"/>
    </w:pPr>
  </w:style>
  <w:style w:type="paragraph" w:styleId="Index8">
    <w:name w:val="index 8"/>
    <w:basedOn w:val="Normal"/>
    <w:next w:val="Normal"/>
    <w:autoRedefine/>
    <w:semiHidden/>
    <w:unhideWhenUsed/>
    <w:rsid w:val="009261A7"/>
    <w:pPr>
      <w:ind w:left="1600" w:hanging="200"/>
    </w:pPr>
  </w:style>
  <w:style w:type="paragraph" w:styleId="Index9">
    <w:name w:val="index 9"/>
    <w:basedOn w:val="Normal"/>
    <w:next w:val="Normal"/>
    <w:autoRedefine/>
    <w:semiHidden/>
    <w:unhideWhenUsed/>
    <w:rsid w:val="009261A7"/>
    <w:pPr>
      <w:ind w:left="1800" w:hanging="200"/>
    </w:pPr>
  </w:style>
  <w:style w:type="paragraph" w:styleId="IndexHeading">
    <w:name w:val="index heading"/>
    <w:basedOn w:val="Normal"/>
    <w:next w:val="Index1"/>
    <w:semiHidden/>
    <w:unhideWhenUsed/>
    <w:rsid w:val="009261A7"/>
    <w:rPr>
      <w:rFonts w:asciiTheme="majorHAnsi" w:hAnsiTheme="majorHAnsi" w:eastAsiaTheme="majorEastAsia" w:cstheme="majorBidi"/>
      <w:b/>
      <w:bCs/>
    </w:rPr>
  </w:style>
  <w:style w:type="paragraph" w:styleId="IntenseQuote">
    <w:name w:val="Intense Quote"/>
    <w:basedOn w:val="Normal"/>
    <w:next w:val="Normal"/>
    <w:link w:val="IntenseQuoteChar"/>
    <w:uiPriority w:val="30"/>
    <w:qFormat/>
    <w:rsid w:val="009261A7"/>
    <w:pPr>
      <w:pBdr>
        <w:bottom w:val="single" w:color="5B9BD5" w:themeColor="accent1" w:sz="4" w:space="4"/>
      </w:pBdr>
      <w:spacing w:before="200" w:after="280"/>
      <w:ind w:left="936" w:right="936"/>
    </w:pPr>
    <w:rPr>
      <w:b/>
      <w:bCs/>
      <w:i/>
      <w:iCs/>
      <w:color w:val="5B9BD5" w:themeColor="accent1"/>
    </w:rPr>
  </w:style>
  <w:style w:type="character" w:styleId="IntenseQuoteChar" w:customStyle="1">
    <w:name w:val="Intense Quote Char"/>
    <w:basedOn w:val="DefaultParagraphFont"/>
    <w:link w:val="IntenseQuote"/>
    <w:uiPriority w:val="30"/>
    <w:rsid w:val="009261A7"/>
    <w:rPr>
      <w:rFonts w:ascii="Arial" w:hAnsi="Arial"/>
      <w:b/>
      <w:bCs/>
      <w:i/>
      <w:iCs/>
      <w:color w:val="5B9BD5" w:themeColor="accent1"/>
    </w:rPr>
  </w:style>
  <w:style w:type="paragraph" w:styleId="List">
    <w:name w:val="List"/>
    <w:basedOn w:val="Normal"/>
    <w:semiHidden/>
    <w:unhideWhenUsed/>
    <w:rsid w:val="009261A7"/>
    <w:pPr>
      <w:ind w:left="283" w:hanging="283"/>
      <w:contextualSpacing/>
    </w:pPr>
  </w:style>
  <w:style w:type="paragraph" w:styleId="List2">
    <w:name w:val="List 2"/>
    <w:basedOn w:val="Normal"/>
    <w:semiHidden/>
    <w:unhideWhenUsed/>
    <w:rsid w:val="009261A7"/>
    <w:pPr>
      <w:ind w:left="566" w:hanging="283"/>
      <w:contextualSpacing/>
    </w:pPr>
  </w:style>
  <w:style w:type="paragraph" w:styleId="List3">
    <w:name w:val="List 3"/>
    <w:basedOn w:val="Normal"/>
    <w:semiHidden/>
    <w:unhideWhenUsed/>
    <w:rsid w:val="009261A7"/>
    <w:pPr>
      <w:ind w:left="849" w:hanging="283"/>
      <w:contextualSpacing/>
    </w:pPr>
  </w:style>
  <w:style w:type="paragraph" w:styleId="List4">
    <w:name w:val="List 4"/>
    <w:basedOn w:val="Normal"/>
    <w:rsid w:val="009261A7"/>
    <w:pPr>
      <w:ind w:left="1132" w:hanging="283"/>
      <w:contextualSpacing/>
    </w:pPr>
  </w:style>
  <w:style w:type="paragraph" w:styleId="List5">
    <w:name w:val="List 5"/>
    <w:basedOn w:val="Normal"/>
    <w:rsid w:val="009261A7"/>
    <w:pPr>
      <w:ind w:left="1415" w:hanging="283"/>
      <w:contextualSpacing/>
    </w:pPr>
  </w:style>
  <w:style w:type="paragraph" w:styleId="ListBullet">
    <w:name w:val="List Bullet"/>
    <w:basedOn w:val="Normal"/>
    <w:semiHidden/>
    <w:unhideWhenUsed/>
    <w:rsid w:val="009261A7"/>
    <w:pPr>
      <w:numPr>
        <w:numId w:val="7"/>
      </w:numPr>
      <w:contextualSpacing/>
    </w:pPr>
  </w:style>
  <w:style w:type="paragraph" w:styleId="ListBullet2">
    <w:name w:val="List Bullet 2"/>
    <w:basedOn w:val="Normal"/>
    <w:semiHidden/>
    <w:unhideWhenUsed/>
    <w:rsid w:val="009261A7"/>
    <w:pPr>
      <w:numPr>
        <w:numId w:val="8"/>
      </w:numPr>
      <w:contextualSpacing/>
    </w:pPr>
  </w:style>
  <w:style w:type="paragraph" w:styleId="ListBullet3">
    <w:name w:val="List Bullet 3"/>
    <w:basedOn w:val="Normal"/>
    <w:semiHidden/>
    <w:unhideWhenUsed/>
    <w:rsid w:val="009261A7"/>
    <w:pPr>
      <w:numPr>
        <w:numId w:val="9"/>
      </w:numPr>
      <w:contextualSpacing/>
    </w:pPr>
  </w:style>
  <w:style w:type="paragraph" w:styleId="ListBullet4">
    <w:name w:val="List Bullet 4"/>
    <w:basedOn w:val="Normal"/>
    <w:semiHidden/>
    <w:unhideWhenUsed/>
    <w:rsid w:val="009261A7"/>
    <w:pPr>
      <w:numPr>
        <w:numId w:val="10"/>
      </w:numPr>
      <w:contextualSpacing/>
    </w:pPr>
  </w:style>
  <w:style w:type="paragraph" w:styleId="ListBullet5">
    <w:name w:val="List Bullet 5"/>
    <w:basedOn w:val="Normal"/>
    <w:semiHidden/>
    <w:unhideWhenUsed/>
    <w:rsid w:val="009261A7"/>
    <w:pPr>
      <w:numPr>
        <w:numId w:val="11"/>
      </w:numPr>
      <w:contextualSpacing/>
    </w:pPr>
  </w:style>
  <w:style w:type="paragraph" w:styleId="ListContinue">
    <w:name w:val="List Continue"/>
    <w:basedOn w:val="Normal"/>
    <w:semiHidden/>
    <w:unhideWhenUsed/>
    <w:rsid w:val="009261A7"/>
    <w:pPr>
      <w:spacing w:after="120"/>
      <w:ind w:left="283"/>
      <w:contextualSpacing/>
    </w:pPr>
  </w:style>
  <w:style w:type="paragraph" w:styleId="ListContinue2">
    <w:name w:val="List Continue 2"/>
    <w:basedOn w:val="Normal"/>
    <w:semiHidden/>
    <w:unhideWhenUsed/>
    <w:rsid w:val="009261A7"/>
    <w:pPr>
      <w:spacing w:after="120"/>
      <w:ind w:left="566"/>
      <w:contextualSpacing/>
    </w:pPr>
  </w:style>
  <w:style w:type="paragraph" w:styleId="ListContinue3">
    <w:name w:val="List Continue 3"/>
    <w:basedOn w:val="Normal"/>
    <w:semiHidden/>
    <w:unhideWhenUsed/>
    <w:rsid w:val="009261A7"/>
    <w:pPr>
      <w:spacing w:after="120"/>
      <w:ind w:left="849"/>
      <w:contextualSpacing/>
    </w:pPr>
  </w:style>
  <w:style w:type="paragraph" w:styleId="ListContinue4">
    <w:name w:val="List Continue 4"/>
    <w:basedOn w:val="Normal"/>
    <w:semiHidden/>
    <w:unhideWhenUsed/>
    <w:rsid w:val="009261A7"/>
    <w:pPr>
      <w:spacing w:after="120"/>
      <w:ind w:left="1132"/>
      <w:contextualSpacing/>
    </w:pPr>
  </w:style>
  <w:style w:type="paragraph" w:styleId="ListContinue5">
    <w:name w:val="List Continue 5"/>
    <w:basedOn w:val="Normal"/>
    <w:semiHidden/>
    <w:unhideWhenUsed/>
    <w:rsid w:val="009261A7"/>
    <w:pPr>
      <w:spacing w:after="120"/>
      <w:ind w:left="1415"/>
      <w:contextualSpacing/>
    </w:pPr>
  </w:style>
  <w:style w:type="paragraph" w:styleId="ListNumber">
    <w:name w:val="List Number"/>
    <w:basedOn w:val="Normal"/>
    <w:rsid w:val="009261A7"/>
    <w:pPr>
      <w:numPr>
        <w:numId w:val="12"/>
      </w:numPr>
      <w:contextualSpacing/>
    </w:pPr>
  </w:style>
  <w:style w:type="paragraph" w:styleId="ListNumber2">
    <w:name w:val="List Number 2"/>
    <w:basedOn w:val="Normal"/>
    <w:semiHidden/>
    <w:unhideWhenUsed/>
    <w:rsid w:val="009261A7"/>
    <w:pPr>
      <w:numPr>
        <w:numId w:val="13"/>
      </w:numPr>
      <w:contextualSpacing/>
    </w:pPr>
  </w:style>
  <w:style w:type="paragraph" w:styleId="ListNumber3">
    <w:name w:val="List Number 3"/>
    <w:basedOn w:val="Normal"/>
    <w:semiHidden/>
    <w:unhideWhenUsed/>
    <w:rsid w:val="009261A7"/>
    <w:pPr>
      <w:numPr>
        <w:numId w:val="14"/>
      </w:numPr>
      <w:contextualSpacing/>
    </w:pPr>
  </w:style>
  <w:style w:type="paragraph" w:styleId="ListNumber4">
    <w:name w:val="List Number 4"/>
    <w:basedOn w:val="Normal"/>
    <w:semiHidden/>
    <w:unhideWhenUsed/>
    <w:rsid w:val="009261A7"/>
    <w:pPr>
      <w:numPr>
        <w:numId w:val="15"/>
      </w:numPr>
      <w:contextualSpacing/>
    </w:pPr>
  </w:style>
  <w:style w:type="paragraph" w:styleId="ListNumber5">
    <w:name w:val="List Number 5"/>
    <w:basedOn w:val="Normal"/>
    <w:semiHidden/>
    <w:unhideWhenUsed/>
    <w:rsid w:val="009261A7"/>
    <w:pPr>
      <w:numPr>
        <w:numId w:val="16"/>
      </w:numPr>
      <w:contextualSpacing/>
    </w:pPr>
  </w:style>
  <w:style w:type="paragraph" w:styleId="MacroText">
    <w:name w:val="macro"/>
    <w:link w:val="MacroTextChar"/>
    <w:semiHidden/>
    <w:unhideWhenUsed/>
    <w:rsid w:val="009261A7"/>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rPr>
  </w:style>
  <w:style w:type="character" w:styleId="MacroTextChar" w:customStyle="1">
    <w:name w:val="Macro Text Char"/>
    <w:basedOn w:val="DefaultParagraphFont"/>
    <w:link w:val="MacroText"/>
    <w:semiHidden/>
    <w:rsid w:val="009261A7"/>
    <w:rPr>
      <w:rFonts w:ascii="Consolas" w:hAnsi="Consolas"/>
    </w:rPr>
  </w:style>
  <w:style w:type="paragraph" w:styleId="MessageHeader">
    <w:name w:val="Message Header"/>
    <w:basedOn w:val="Normal"/>
    <w:link w:val="MessageHeaderChar"/>
    <w:semiHidden/>
    <w:unhideWhenUsed/>
    <w:rsid w:val="009261A7"/>
    <w:pPr>
      <w:pBdr>
        <w:top w:val="single" w:color="auto" w:sz="6" w:space="1"/>
        <w:left w:val="single" w:color="auto" w:sz="6" w:space="1"/>
        <w:bottom w:val="single" w:color="auto" w:sz="6" w:space="1"/>
        <w:right w:val="single" w:color="auto" w:sz="6" w:space="1"/>
      </w:pBdr>
      <w:shd w:val="pct20" w:color="auto" w:fill="auto"/>
      <w:ind w:left="1134" w:hanging="1134"/>
    </w:pPr>
    <w:rPr>
      <w:rFonts w:asciiTheme="majorHAnsi" w:hAnsiTheme="majorHAnsi" w:eastAsiaTheme="majorEastAsia" w:cstheme="majorBidi"/>
      <w:sz w:val="24"/>
      <w:szCs w:val="24"/>
    </w:rPr>
  </w:style>
  <w:style w:type="character" w:styleId="MessageHeaderChar" w:customStyle="1">
    <w:name w:val="Message Header Char"/>
    <w:basedOn w:val="DefaultParagraphFont"/>
    <w:link w:val="MessageHeader"/>
    <w:semiHidden/>
    <w:rsid w:val="009261A7"/>
    <w:rPr>
      <w:rFonts w:asciiTheme="majorHAnsi" w:hAnsiTheme="majorHAnsi" w:eastAsiaTheme="majorEastAsia" w:cstheme="majorBidi"/>
      <w:sz w:val="24"/>
      <w:szCs w:val="24"/>
      <w:shd w:val="pct20" w:color="auto" w:fill="auto"/>
    </w:rPr>
  </w:style>
  <w:style w:type="paragraph" w:styleId="NoSpacing">
    <w:name w:val="No Spacing"/>
    <w:uiPriority w:val="1"/>
    <w:qFormat/>
    <w:rsid w:val="009261A7"/>
    <w:pPr>
      <w:jc w:val="both"/>
    </w:pPr>
    <w:rPr>
      <w:rFonts w:ascii="Arial" w:hAnsi="Arial"/>
    </w:rPr>
  </w:style>
  <w:style w:type="paragraph" w:styleId="NormalWeb">
    <w:name w:val="Normal (Web)"/>
    <w:basedOn w:val="Normal"/>
    <w:uiPriority w:val="99"/>
    <w:semiHidden/>
    <w:unhideWhenUsed/>
    <w:rsid w:val="009261A7"/>
    <w:rPr>
      <w:rFonts w:ascii="Times New Roman" w:hAnsi="Times New Roman"/>
      <w:sz w:val="24"/>
      <w:szCs w:val="24"/>
    </w:rPr>
  </w:style>
  <w:style w:type="paragraph" w:styleId="NormalIndent">
    <w:name w:val="Normal Indent"/>
    <w:basedOn w:val="Normal"/>
    <w:semiHidden/>
    <w:unhideWhenUsed/>
    <w:rsid w:val="009261A7"/>
    <w:pPr>
      <w:ind w:left="720"/>
    </w:pPr>
  </w:style>
  <w:style w:type="paragraph" w:styleId="NoteHeading1" w:customStyle="1">
    <w:name w:val="Note Heading1"/>
    <w:basedOn w:val="Normal"/>
    <w:next w:val="Normal"/>
    <w:link w:val="NoteHeadingChar"/>
    <w:semiHidden/>
    <w:unhideWhenUsed/>
    <w:rsid w:val="009261A7"/>
  </w:style>
  <w:style w:type="character" w:styleId="NoteHeadingChar" w:customStyle="1">
    <w:name w:val="Note Heading Char"/>
    <w:basedOn w:val="DefaultParagraphFont"/>
    <w:link w:val="NoteHeading1"/>
    <w:semiHidden/>
    <w:rsid w:val="009261A7"/>
    <w:rPr>
      <w:rFonts w:ascii="Arial" w:hAnsi="Arial"/>
    </w:rPr>
  </w:style>
  <w:style w:type="paragraph" w:styleId="PlainText">
    <w:name w:val="Plain Text"/>
    <w:basedOn w:val="Normal"/>
    <w:link w:val="PlainTextChar"/>
    <w:semiHidden/>
    <w:unhideWhenUsed/>
    <w:rsid w:val="009261A7"/>
    <w:rPr>
      <w:rFonts w:ascii="Consolas" w:hAnsi="Consolas"/>
      <w:sz w:val="21"/>
      <w:szCs w:val="21"/>
    </w:rPr>
  </w:style>
  <w:style w:type="character" w:styleId="PlainTextChar" w:customStyle="1">
    <w:name w:val="Plain Text Char"/>
    <w:basedOn w:val="DefaultParagraphFont"/>
    <w:link w:val="PlainText"/>
    <w:semiHidden/>
    <w:rsid w:val="009261A7"/>
    <w:rPr>
      <w:rFonts w:ascii="Consolas" w:hAnsi="Consolas"/>
      <w:sz w:val="21"/>
      <w:szCs w:val="21"/>
    </w:rPr>
  </w:style>
  <w:style w:type="paragraph" w:styleId="Quote">
    <w:name w:val="Quote"/>
    <w:basedOn w:val="Normal"/>
    <w:next w:val="Normal"/>
    <w:link w:val="QuoteChar"/>
    <w:uiPriority w:val="29"/>
    <w:qFormat/>
    <w:rsid w:val="009261A7"/>
    <w:rPr>
      <w:i/>
      <w:iCs/>
      <w:color w:val="000000" w:themeColor="text1"/>
    </w:rPr>
  </w:style>
  <w:style w:type="character" w:styleId="QuoteChar" w:customStyle="1">
    <w:name w:val="Quote Char"/>
    <w:basedOn w:val="DefaultParagraphFont"/>
    <w:link w:val="Quote"/>
    <w:uiPriority w:val="29"/>
    <w:rsid w:val="009261A7"/>
    <w:rPr>
      <w:rFonts w:ascii="Arial" w:hAnsi="Arial"/>
      <w:i/>
      <w:iCs/>
      <w:color w:val="000000" w:themeColor="text1"/>
    </w:rPr>
  </w:style>
  <w:style w:type="paragraph" w:styleId="Salutation">
    <w:name w:val="Salutation"/>
    <w:basedOn w:val="Normal"/>
    <w:next w:val="Normal"/>
    <w:link w:val="SalutationChar"/>
    <w:rsid w:val="009261A7"/>
  </w:style>
  <w:style w:type="character" w:styleId="SalutationChar" w:customStyle="1">
    <w:name w:val="Salutation Char"/>
    <w:basedOn w:val="DefaultParagraphFont"/>
    <w:link w:val="Salutation"/>
    <w:rsid w:val="009261A7"/>
    <w:rPr>
      <w:rFonts w:ascii="Arial" w:hAnsi="Arial"/>
    </w:rPr>
  </w:style>
  <w:style w:type="paragraph" w:styleId="Signature">
    <w:name w:val="Signature"/>
    <w:basedOn w:val="Normal"/>
    <w:link w:val="SignatureChar"/>
    <w:semiHidden/>
    <w:unhideWhenUsed/>
    <w:rsid w:val="009261A7"/>
    <w:pPr>
      <w:ind w:left="4252"/>
    </w:pPr>
  </w:style>
  <w:style w:type="character" w:styleId="SignatureChar" w:customStyle="1">
    <w:name w:val="Signature Char"/>
    <w:basedOn w:val="DefaultParagraphFont"/>
    <w:link w:val="Signature"/>
    <w:semiHidden/>
    <w:rsid w:val="009261A7"/>
    <w:rPr>
      <w:rFonts w:ascii="Arial" w:hAnsi="Arial"/>
    </w:rPr>
  </w:style>
  <w:style w:type="paragraph" w:styleId="Subtitle">
    <w:name w:val="Subtitle"/>
    <w:basedOn w:val="Normal"/>
    <w:next w:val="Normal"/>
    <w:link w:val="SubtitleChar"/>
    <w:qFormat/>
    <w:rsid w:val="009261A7"/>
    <w:pPr>
      <w:numPr>
        <w:ilvl w:val="1"/>
      </w:numPr>
    </w:pPr>
    <w:rPr>
      <w:rFonts w:asciiTheme="majorHAnsi" w:hAnsiTheme="majorHAnsi" w:eastAsiaTheme="majorEastAsia" w:cstheme="majorBidi"/>
      <w:i/>
      <w:iCs/>
      <w:color w:val="5B9BD5" w:themeColor="accent1"/>
      <w:spacing w:val="15"/>
      <w:sz w:val="24"/>
      <w:szCs w:val="24"/>
    </w:rPr>
  </w:style>
  <w:style w:type="character" w:styleId="SubtitleChar" w:customStyle="1">
    <w:name w:val="Subtitle Char"/>
    <w:basedOn w:val="DefaultParagraphFont"/>
    <w:link w:val="Subtitle"/>
    <w:rsid w:val="009261A7"/>
    <w:rPr>
      <w:rFonts w:asciiTheme="majorHAnsi" w:hAnsiTheme="majorHAnsi" w:eastAsiaTheme="majorEastAsia" w:cstheme="majorBidi"/>
      <w:i/>
      <w:iCs/>
      <w:color w:val="5B9BD5" w:themeColor="accent1"/>
      <w:spacing w:val="15"/>
      <w:sz w:val="24"/>
      <w:szCs w:val="24"/>
    </w:rPr>
  </w:style>
  <w:style w:type="paragraph" w:styleId="TableofAuthorities">
    <w:name w:val="table of authorities"/>
    <w:basedOn w:val="Normal"/>
    <w:next w:val="Normal"/>
    <w:semiHidden/>
    <w:unhideWhenUsed/>
    <w:rsid w:val="009261A7"/>
    <w:pPr>
      <w:ind w:left="200" w:hanging="200"/>
    </w:pPr>
  </w:style>
  <w:style w:type="paragraph" w:styleId="TableofFigures">
    <w:name w:val="table of figures"/>
    <w:basedOn w:val="Normal"/>
    <w:next w:val="Normal"/>
    <w:semiHidden/>
    <w:unhideWhenUsed/>
    <w:rsid w:val="009261A7"/>
  </w:style>
  <w:style w:type="paragraph" w:styleId="Title">
    <w:name w:val="Title"/>
    <w:basedOn w:val="Normal"/>
    <w:next w:val="Normal"/>
    <w:link w:val="TitleChar"/>
    <w:qFormat/>
    <w:rsid w:val="009261A7"/>
    <w:pPr>
      <w:pBdr>
        <w:bottom w:val="single" w:color="5B9BD5" w:themeColor="accent1" w:sz="8" w:space="4"/>
      </w:pBdr>
      <w:spacing w:after="300"/>
      <w:contextualSpacing/>
    </w:pPr>
    <w:rPr>
      <w:rFonts w:asciiTheme="majorHAnsi" w:hAnsiTheme="majorHAnsi" w:eastAsiaTheme="majorEastAsia" w:cstheme="majorBidi"/>
      <w:color w:val="323E4F" w:themeColor="text2" w:themeShade="BF"/>
      <w:spacing w:val="5"/>
      <w:kern w:val="28"/>
      <w:sz w:val="52"/>
      <w:szCs w:val="52"/>
    </w:rPr>
  </w:style>
  <w:style w:type="character" w:styleId="TitleChar" w:customStyle="1">
    <w:name w:val="Title Char"/>
    <w:basedOn w:val="DefaultParagraphFont"/>
    <w:link w:val="Title"/>
    <w:rsid w:val="009261A7"/>
    <w:rPr>
      <w:rFonts w:asciiTheme="majorHAnsi" w:hAnsiTheme="majorHAnsi" w:eastAsiaTheme="majorEastAsia" w:cstheme="majorBidi"/>
      <w:color w:val="323E4F" w:themeColor="text2" w:themeShade="BF"/>
      <w:spacing w:val="5"/>
      <w:kern w:val="28"/>
      <w:sz w:val="52"/>
      <w:szCs w:val="52"/>
    </w:rPr>
  </w:style>
  <w:style w:type="paragraph" w:styleId="TOAHeading">
    <w:name w:val="toa heading"/>
    <w:basedOn w:val="Normal"/>
    <w:next w:val="Normal"/>
    <w:semiHidden/>
    <w:unhideWhenUsed/>
    <w:rsid w:val="009261A7"/>
    <w:pPr>
      <w:spacing w:before="120"/>
    </w:pPr>
    <w:rPr>
      <w:rFonts w:asciiTheme="majorHAnsi" w:hAnsiTheme="majorHAnsi" w:eastAsiaTheme="majorEastAsia" w:cstheme="majorBidi"/>
      <w:b/>
      <w:bCs/>
      <w:sz w:val="24"/>
      <w:szCs w:val="24"/>
    </w:rPr>
  </w:style>
  <w:style w:type="paragraph" w:styleId="TOC1">
    <w:name w:val="toc 1"/>
    <w:basedOn w:val="Normal"/>
    <w:next w:val="Normal"/>
    <w:autoRedefine/>
    <w:semiHidden/>
    <w:unhideWhenUsed/>
    <w:rsid w:val="009261A7"/>
    <w:pPr>
      <w:spacing w:after="100"/>
    </w:pPr>
  </w:style>
  <w:style w:type="paragraph" w:styleId="TOC2">
    <w:name w:val="toc 2"/>
    <w:basedOn w:val="Normal"/>
    <w:next w:val="Normal"/>
    <w:autoRedefine/>
    <w:semiHidden/>
    <w:unhideWhenUsed/>
    <w:rsid w:val="009261A7"/>
    <w:pPr>
      <w:spacing w:after="100"/>
      <w:ind w:left="200"/>
    </w:pPr>
  </w:style>
  <w:style w:type="paragraph" w:styleId="TOC3">
    <w:name w:val="toc 3"/>
    <w:basedOn w:val="Normal"/>
    <w:next w:val="Normal"/>
    <w:autoRedefine/>
    <w:semiHidden/>
    <w:unhideWhenUsed/>
    <w:rsid w:val="009261A7"/>
    <w:pPr>
      <w:spacing w:after="100"/>
      <w:ind w:left="400"/>
    </w:pPr>
  </w:style>
  <w:style w:type="paragraph" w:styleId="TOC4">
    <w:name w:val="toc 4"/>
    <w:basedOn w:val="Normal"/>
    <w:next w:val="Normal"/>
    <w:autoRedefine/>
    <w:semiHidden/>
    <w:unhideWhenUsed/>
    <w:rsid w:val="009261A7"/>
    <w:pPr>
      <w:spacing w:after="100"/>
      <w:ind w:left="600"/>
    </w:pPr>
  </w:style>
  <w:style w:type="paragraph" w:styleId="TOC5">
    <w:name w:val="toc 5"/>
    <w:basedOn w:val="Normal"/>
    <w:next w:val="Normal"/>
    <w:autoRedefine/>
    <w:semiHidden/>
    <w:unhideWhenUsed/>
    <w:rsid w:val="009261A7"/>
    <w:pPr>
      <w:spacing w:after="100"/>
      <w:ind w:left="800"/>
    </w:pPr>
  </w:style>
  <w:style w:type="paragraph" w:styleId="TOC6">
    <w:name w:val="toc 6"/>
    <w:basedOn w:val="Normal"/>
    <w:next w:val="Normal"/>
    <w:autoRedefine/>
    <w:semiHidden/>
    <w:unhideWhenUsed/>
    <w:rsid w:val="009261A7"/>
    <w:pPr>
      <w:spacing w:after="100"/>
      <w:ind w:left="1000"/>
    </w:pPr>
  </w:style>
  <w:style w:type="paragraph" w:styleId="TOC7">
    <w:name w:val="toc 7"/>
    <w:basedOn w:val="Normal"/>
    <w:next w:val="Normal"/>
    <w:autoRedefine/>
    <w:semiHidden/>
    <w:unhideWhenUsed/>
    <w:rsid w:val="009261A7"/>
    <w:pPr>
      <w:spacing w:after="100"/>
      <w:ind w:left="1200"/>
    </w:pPr>
  </w:style>
  <w:style w:type="paragraph" w:styleId="TOC8">
    <w:name w:val="toc 8"/>
    <w:basedOn w:val="Normal"/>
    <w:next w:val="Normal"/>
    <w:autoRedefine/>
    <w:semiHidden/>
    <w:unhideWhenUsed/>
    <w:rsid w:val="009261A7"/>
    <w:pPr>
      <w:spacing w:after="100"/>
      <w:ind w:left="1400"/>
    </w:pPr>
  </w:style>
  <w:style w:type="paragraph" w:styleId="TOC9">
    <w:name w:val="toc 9"/>
    <w:basedOn w:val="Normal"/>
    <w:next w:val="Normal"/>
    <w:autoRedefine/>
    <w:semiHidden/>
    <w:unhideWhenUsed/>
    <w:rsid w:val="009261A7"/>
    <w:pPr>
      <w:spacing w:after="100"/>
      <w:ind w:left="1600"/>
    </w:pPr>
  </w:style>
  <w:style w:type="paragraph" w:styleId="TOCHeading">
    <w:name w:val="TOC Heading"/>
    <w:basedOn w:val="Heading1"/>
    <w:next w:val="Normal"/>
    <w:uiPriority w:val="39"/>
    <w:semiHidden/>
    <w:unhideWhenUsed/>
    <w:qFormat/>
    <w:rsid w:val="009261A7"/>
    <w:pPr>
      <w:keepLines/>
      <w:spacing w:before="480" w:after="0"/>
      <w:outlineLvl w:val="9"/>
    </w:pPr>
    <w:rPr>
      <w:rFonts w:asciiTheme="majorHAnsi" w:hAnsiTheme="majorHAnsi" w:eastAsiaTheme="majorEastAsia" w:cstheme="majorBidi"/>
      <w:color w:val="2E74B5" w:themeColor="accent1" w:themeShade="BF"/>
      <w:kern w:val="0"/>
      <w:sz w:val="28"/>
      <w:szCs w:val="28"/>
    </w:rPr>
  </w:style>
  <w:style w:type="character" w:styleId="Normal1Char" w:customStyle="1">
    <w:name w:val="Normal1 Char"/>
    <w:basedOn w:val="DefaultParagraphFont"/>
    <w:link w:val="Normal1"/>
    <w:rsid w:val="008D3DAD"/>
    <w:rPr>
      <w:rFonts w:ascii="Arial" w:hAnsi="Arial"/>
      <w:spacing w:val="-1"/>
      <w:szCs w:val="24"/>
    </w:rPr>
  </w:style>
  <w:style w:type="character" w:styleId="CommentTextChar" w:customStyle="1">
    <w:name w:val="Comment Text Char"/>
    <w:basedOn w:val="DefaultParagraphFont"/>
    <w:link w:val="CommentText"/>
    <w:uiPriority w:val="99"/>
    <w:semiHidden/>
    <w:rsid w:val="00DE0EF5"/>
    <w:rPr>
      <w:rFonts w:ascii="Arial" w:hAnsi="Arial"/>
    </w:rPr>
  </w:style>
  <w:style w:type="character" w:styleId="PlaceholderText">
    <w:name w:val="Placeholder Text"/>
    <w:basedOn w:val="DefaultParagraphFont"/>
    <w:uiPriority w:val="99"/>
    <w:semiHidden/>
    <w:rsid w:val="00BC37D0"/>
    <w:rPr>
      <w:color w:val="808080"/>
    </w:rPr>
  </w:style>
  <w:style w:type="paragraph" w:styleId="DocId" w:customStyle="1">
    <w:name w:val="DocId"/>
    <w:basedOn w:val="Footer"/>
    <w:link w:val="DocIdChar"/>
    <w:rsid w:val="00BC37D0"/>
    <w:pPr>
      <w:spacing w:after="240"/>
      <w:jc w:val="left"/>
    </w:pPr>
    <w:rPr>
      <w:rFonts w:cs="Arial"/>
      <w:sz w:val="14"/>
      <w:szCs w:val="18"/>
      <w:lang w:val="en-US"/>
    </w:rPr>
  </w:style>
  <w:style w:type="character" w:styleId="DocIdChar" w:customStyle="1">
    <w:name w:val="DocId Char"/>
    <w:basedOn w:val="DefaultParagraphFont"/>
    <w:link w:val="DocId"/>
    <w:rsid w:val="00BC37D0"/>
    <w:rPr>
      <w:rFonts w:ascii="Arial" w:hAnsi="Arial" w:cs="Arial"/>
      <w:sz w:val="14"/>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229994">
      <w:bodyDiv w:val="1"/>
      <w:marLeft w:val="0"/>
      <w:marRight w:val="0"/>
      <w:marTop w:val="0"/>
      <w:marBottom w:val="0"/>
      <w:divBdr>
        <w:top w:val="none" w:sz="0" w:space="0" w:color="auto"/>
        <w:left w:val="none" w:sz="0" w:space="0" w:color="auto"/>
        <w:bottom w:val="none" w:sz="0" w:space="0" w:color="auto"/>
        <w:right w:val="none" w:sz="0" w:space="0" w:color="auto"/>
      </w:divBdr>
    </w:div>
    <w:div w:id="1307777993">
      <w:bodyDiv w:val="1"/>
      <w:marLeft w:val="0"/>
      <w:marRight w:val="0"/>
      <w:marTop w:val="0"/>
      <w:marBottom w:val="0"/>
      <w:divBdr>
        <w:top w:val="none" w:sz="0" w:space="0" w:color="auto"/>
        <w:left w:val="none" w:sz="0" w:space="0" w:color="auto"/>
        <w:bottom w:val="none" w:sz="0" w:space="0" w:color="auto"/>
        <w:right w:val="none" w:sz="0" w:space="0" w:color="auto"/>
      </w:divBdr>
    </w:div>
    <w:div w:id="1377851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header" Target="header3.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oter" Target="footer2.xml" Id="rId12" /><Relationship Type="http://schemas.openxmlformats.org/officeDocument/2006/relationships/numbering" Target="numbering.xml" Id="rId2" /><Relationship Type="http://schemas.openxmlformats.org/officeDocument/2006/relationships/theme" Target="theme/theme1.xml" Id="rId16" /><Relationship Type="http://schemas.openxmlformats.org/officeDocument/2006/relationships/footnotes" Target="footnotes.xml" Id="rId6" /><Relationship Type="http://schemas.openxmlformats.org/officeDocument/2006/relationships/footer" Target="footer1.xml" Id="rId11" /><Relationship Type="http://schemas.openxmlformats.org/officeDocument/2006/relationships/webSettings" Target="webSettings.xml" Id="rId5" /><Relationship Type="http://schemas.openxmlformats.org/officeDocument/2006/relationships/fontTable" Target="fontTable.xml" Id="rId1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header" Target="header1.xml" Id="rId9" /><Relationship Type="http://schemas.openxmlformats.org/officeDocument/2006/relationships/footer" Target="footer3.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file>

<file path=docProps/core.xml><?xml version="1.0" encoding="utf-8"?>
<coreProperties xmlns:dc="http://purl.org/dc/elements/1.1/" xmlns:dcterms="http://purl.org/dc/terms/" xmlns:xsi="http://www.w3.org/2001/XMLSchema-instance" xmlns="http://schemas.openxmlformats.org/package/2006/metadata/core-properties">
  <dcterms:created xsi:type="dcterms:W3CDTF">1900-01-01T00:00:00.0000000Z</dcterms:created>
  <dcterms:modified xsi:type="dcterms:W3CDTF">1900-01-01T00:00:00.0000000Z</dcterms:modified>
</coreProperties>
</file>